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34F3F" w14:textId="77777777" w:rsidR="00982EC7" w:rsidRPr="0034075A" w:rsidRDefault="00982EC7" w:rsidP="001A123D">
      <w:pPr>
        <w:spacing w:line="276" w:lineRule="auto"/>
        <w:jc w:val="center"/>
        <w:rPr>
          <w:rFonts w:ascii="Century Gothic" w:hAnsi="Century Gothic" w:cs="Times New Roman"/>
          <w:lang w:val="en-US" w:eastAsia="fr-FR"/>
        </w:rPr>
      </w:pPr>
      <w:r w:rsidRPr="0034075A">
        <w:rPr>
          <w:rFonts w:ascii="Century Gothic" w:hAnsi="Century Gothic" w:cs="Times New Roman"/>
          <w:b/>
          <w:bCs/>
          <w:color w:val="000000"/>
          <w:sz w:val="32"/>
          <w:szCs w:val="32"/>
          <w:lang w:val="en-US" w:eastAsia="fr-FR"/>
        </w:rPr>
        <w:t xml:space="preserve">Right to the City and </w:t>
      </w:r>
      <w:r w:rsidR="00F46666" w:rsidRPr="0034075A">
        <w:rPr>
          <w:rFonts w:ascii="Century Gothic" w:hAnsi="Century Gothic" w:cs="Times New Roman"/>
          <w:b/>
          <w:bCs/>
          <w:color w:val="000000"/>
          <w:sz w:val="32"/>
          <w:szCs w:val="32"/>
          <w:lang w:val="en-US" w:eastAsia="fr-FR"/>
        </w:rPr>
        <w:t>Right to Food</w:t>
      </w:r>
      <w:r w:rsidRPr="0034075A">
        <w:rPr>
          <w:rFonts w:ascii="Century Gothic" w:hAnsi="Century Gothic" w:cs="Times New Roman"/>
          <w:b/>
          <w:bCs/>
          <w:color w:val="000000"/>
          <w:sz w:val="32"/>
          <w:szCs w:val="32"/>
          <w:lang w:val="en-US" w:eastAsia="fr-FR"/>
        </w:rPr>
        <w:t>:</w:t>
      </w:r>
    </w:p>
    <w:p w14:paraId="6D842117" w14:textId="77777777" w:rsidR="00982EC7" w:rsidRPr="0034075A" w:rsidRDefault="00F46666" w:rsidP="001A123D">
      <w:pPr>
        <w:spacing w:line="276" w:lineRule="auto"/>
        <w:jc w:val="center"/>
        <w:rPr>
          <w:rFonts w:ascii="Century Gothic" w:hAnsi="Century Gothic" w:cs="Times New Roman"/>
          <w:lang w:val="en-US" w:eastAsia="fr-FR"/>
        </w:rPr>
      </w:pPr>
      <w:r w:rsidRPr="0034075A">
        <w:rPr>
          <w:rFonts w:ascii="Century Gothic" w:hAnsi="Century Gothic" w:cs="Times New Roman"/>
          <w:b/>
          <w:bCs/>
          <w:color w:val="000000"/>
          <w:sz w:val="32"/>
          <w:szCs w:val="32"/>
          <w:lang w:val="en-US" w:eastAsia="fr-FR"/>
        </w:rPr>
        <w:t xml:space="preserve">realizing </w:t>
      </w:r>
      <w:r w:rsidR="00795BE7">
        <w:rPr>
          <w:rFonts w:ascii="Century Gothic" w:hAnsi="Century Gothic" w:cs="Times New Roman"/>
          <w:b/>
          <w:bCs/>
          <w:color w:val="000000"/>
          <w:sz w:val="32"/>
          <w:szCs w:val="32"/>
          <w:lang w:val="en-US" w:eastAsia="fr-FR"/>
        </w:rPr>
        <w:t xml:space="preserve">territorial justice and </w:t>
      </w:r>
      <w:r w:rsidRPr="0034075A">
        <w:rPr>
          <w:rFonts w:ascii="Century Gothic" w:hAnsi="Century Gothic" w:cs="Times New Roman"/>
          <w:b/>
          <w:bCs/>
          <w:color w:val="000000"/>
          <w:sz w:val="32"/>
          <w:szCs w:val="32"/>
          <w:lang w:val="en-US" w:eastAsia="fr-FR"/>
        </w:rPr>
        <w:t>rural-urban linkages</w:t>
      </w:r>
    </w:p>
    <w:p w14:paraId="00F65D34" w14:textId="77777777" w:rsidR="00982EC7" w:rsidRPr="0034075A" w:rsidRDefault="00982EC7" w:rsidP="001A123D">
      <w:pPr>
        <w:spacing w:line="276" w:lineRule="auto"/>
        <w:rPr>
          <w:rFonts w:ascii="Century Gothic" w:eastAsia="Times New Roman" w:hAnsi="Century Gothic" w:cs="Times New Roman"/>
          <w:lang w:val="en-US" w:eastAsia="fr-FR"/>
        </w:rPr>
      </w:pPr>
    </w:p>
    <w:p w14:paraId="06625276" w14:textId="6FD3966F" w:rsidR="00982EC7" w:rsidRPr="00287F1B" w:rsidRDefault="00537D95" w:rsidP="001A123D">
      <w:pPr>
        <w:spacing w:line="276" w:lineRule="auto"/>
        <w:jc w:val="center"/>
        <w:rPr>
          <w:rFonts w:ascii="Century Gothic" w:hAnsi="Century Gothic" w:cs="Times New Roman"/>
          <w:u w:val="single"/>
          <w:lang w:val="en-US" w:eastAsia="fr-FR"/>
        </w:rPr>
      </w:pPr>
      <w:r w:rsidRPr="00287F1B">
        <w:rPr>
          <w:rFonts w:ascii="Century Gothic" w:hAnsi="Century Gothic" w:cs="Times New Roman"/>
          <w:bCs/>
          <w:color w:val="000000"/>
          <w:sz w:val="32"/>
          <w:szCs w:val="32"/>
          <w:u w:val="single"/>
          <w:lang w:val="en-US" w:eastAsia="fr-FR"/>
        </w:rPr>
        <w:t>Side Event</w:t>
      </w:r>
      <w:r w:rsidR="00982EC7" w:rsidRPr="00287F1B">
        <w:rPr>
          <w:rFonts w:ascii="Century Gothic" w:hAnsi="Century Gothic" w:cs="Times New Roman"/>
          <w:bCs/>
          <w:color w:val="000000"/>
          <w:sz w:val="32"/>
          <w:szCs w:val="32"/>
          <w:u w:val="single"/>
          <w:lang w:val="en-US" w:eastAsia="fr-FR"/>
        </w:rPr>
        <w:t xml:space="preserve">, </w:t>
      </w:r>
      <w:r w:rsidR="000A097A" w:rsidRPr="00287F1B">
        <w:rPr>
          <w:rFonts w:ascii="Century Gothic" w:hAnsi="Century Gothic" w:cs="Times New Roman"/>
          <w:bCs/>
          <w:color w:val="000000"/>
          <w:sz w:val="32"/>
          <w:szCs w:val="32"/>
          <w:u w:val="single"/>
          <w:lang w:val="en-US" w:eastAsia="fr-FR"/>
        </w:rPr>
        <w:t xml:space="preserve">Wednesday 10 </w:t>
      </w:r>
      <w:r w:rsidRPr="00287F1B">
        <w:rPr>
          <w:rFonts w:ascii="Century Gothic" w:hAnsi="Century Gothic" w:cs="Times New Roman"/>
          <w:bCs/>
          <w:color w:val="000000"/>
          <w:sz w:val="32"/>
          <w:szCs w:val="32"/>
          <w:u w:val="single"/>
          <w:lang w:val="en-US" w:eastAsia="fr-FR"/>
        </w:rPr>
        <w:t>July</w:t>
      </w:r>
      <w:r w:rsidR="000A097A" w:rsidRPr="00287F1B">
        <w:rPr>
          <w:rFonts w:ascii="Century Gothic" w:hAnsi="Century Gothic" w:cs="Times New Roman"/>
          <w:bCs/>
          <w:color w:val="000000"/>
          <w:sz w:val="32"/>
          <w:szCs w:val="32"/>
          <w:u w:val="single"/>
          <w:lang w:val="en-US" w:eastAsia="fr-FR"/>
        </w:rPr>
        <w:t>,</w:t>
      </w:r>
      <w:r w:rsidR="00982EC7" w:rsidRPr="00287F1B">
        <w:rPr>
          <w:rFonts w:ascii="Century Gothic" w:hAnsi="Century Gothic" w:cs="Times New Roman"/>
          <w:bCs/>
          <w:color w:val="000000"/>
          <w:sz w:val="32"/>
          <w:szCs w:val="32"/>
          <w:u w:val="single"/>
          <w:lang w:val="en-US" w:eastAsia="fr-FR"/>
        </w:rPr>
        <w:t xml:space="preserve"> </w:t>
      </w:r>
      <w:r w:rsidR="008B74AC" w:rsidRPr="008B74AC">
        <w:rPr>
          <w:rFonts w:ascii="Century Gothic" w:hAnsi="Century Gothic" w:cs="Times New Roman"/>
          <w:bCs/>
          <w:color w:val="000000"/>
          <w:sz w:val="32"/>
          <w:szCs w:val="32"/>
          <w:highlight w:val="yellow"/>
          <w:u w:val="single"/>
          <w:lang w:val="en-US" w:eastAsia="fr-FR"/>
        </w:rPr>
        <w:t>2-3:30pm</w:t>
      </w:r>
    </w:p>
    <w:p w14:paraId="1F3601E7" w14:textId="77777777" w:rsidR="00287F1B" w:rsidRDefault="00287F1B" w:rsidP="00287F1B">
      <w:pPr>
        <w:spacing w:before="100" w:after="100"/>
        <w:jc w:val="both"/>
        <w:rPr>
          <w:rFonts w:ascii="Century Gothic" w:hAnsi="Century Gothic" w:cs="Times New Roman"/>
          <w:b/>
          <w:bCs/>
          <w:color w:val="000000"/>
          <w:lang w:val="en-US" w:eastAsia="fr-FR"/>
        </w:rPr>
      </w:pPr>
    </w:p>
    <w:p w14:paraId="2B68883C" w14:textId="77777777" w:rsidR="00287F1B" w:rsidRPr="000A097A" w:rsidRDefault="00287F1B" w:rsidP="008B74AC">
      <w:pPr>
        <w:spacing w:before="100" w:after="100"/>
        <w:jc w:val="center"/>
        <w:rPr>
          <w:rFonts w:ascii="Century Gothic" w:hAnsi="Century Gothic" w:cs="Times New Roman"/>
          <w:bCs/>
          <w:color w:val="000000"/>
          <w:lang w:val="en-US" w:eastAsia="fr-FR"/>
        </w:rPr>
      </w:pPr>
      <w:r w:rsidRPr="000A097A">
        <w:rPr>
          <w:rFonts w:ascii="Century Gothic" w:hAnsi="Century Gothic" w:cs="Times New Roman"/>
          <w:bCs/>
          <w:color w:val="000000"/>
          <w:lang w:val="en-US" w:eastAsia="fr-FR"/>
        </w:rPr>
        <w:t xml:space="preserve">Ford Foundation Center for Social Justice (Susan </w:t>
      </w:r>
      <w:proofErr w:type="spellStart"/>
      <w:r w:rsidRPr="000A097A">
        <w:rPr>
          <w:rFonts w:ascii="Century Gothic" w:hAnsi="Century Gothic" w:cs="Times New Roman"/>
          <w:bCs/>
          <w:color w:val="000000"/>
          <w:lang w:val="en-US" w:eastAsia="fr-FR"/>
        </w:rPr>
        <w:t>Berresford</w:t>
      </w:r>
      <w:proofErr w:type="spellEnd"/>
      <w:r w:rsidRPr="000A097A">
        <w:rPr>
          <w:rFonts w:ascii="Century Gothic" w:hAnsi="Century Gothic" w:cs="Times New Roman"/>
          <w:bCs/>
          <w:color w:val="000000"/>
          <w:lang w:val="en-US" w:eastAsia="fr-FR"/>
        </w:rPr>
        <w:t xml:space="preserve"> Room, Floor 11)</w:t>
      </w:r>
    </w:p>
    <w:p w14:paraId="643F1F0A" w14:textId="233F00AF" w:rsidR="00287F1B" w:rsidRPr="000A097A" w:rsidRDefault="00287F1B" w:rsidP="008B74AC">
      <w:pPr>
        <w:spacing w:before="100" w:after="100"/>
        <w:jc w:val="center"/>
        <w:rPr>
          <w:rFonts w:ascii="Century Gothic" w:hAnsi="Century Gothic" w:cs="Times New Roman"/>
          <w:bCs/>
          <w:color w:val="000000"/>
          <w:lang w:val="en-US" w:eastAsia="fr-FR"/>
        </w:rPr>
      </w:pPr>
      <w:r w:rsidRPr="000A097A">
        <w:rPr>
          <w:rFonts w:ascii="Century Gothic" w:hAnsi="Century Gothic" w:cs="Times New Roman"/>
          <w:bCs/>
          <w:color w:val="000000"/>
          <w:lang w:val="en-US" w:eastAsia="fr-FR"/>
        </w:rPr>
        <w:t>320 E 43rd St, N</w:t>
      </w:r>
      <w:bookmarkStart w:id="0" w:name="_GoBack"/>
      <w:bookmarkEnd w:id="0"/>
      <w:r w:rsidRPr="000A097A">
        <w:rPr>
          <w:rFonts w:ascii="Century Gothic" w:hAnsi="Century Gothic" w:cs="Times New Roman"/>
          <w:bCs/>
          <w:color w:val="000000"/>
          <w:lang w:val="en-US" w:eastAsia="fr-FR"/>
        </w:rPr>
        <w:t>ew York, NY</w:t>
      </w:r>
    </w:p>
    <w:p w14:paraId="056FEC6B" w14:textId="77777777" w:rsidR="00287F1B" w:rsidRDefault="00287F1B" w:rsidP="008B74AC">
      <w:pPr>
        <w:spacing w:before="100" w:after="100"/>
        <w:jc w:val="center"/>
        <w:rPr>
          <w:rFonts w:ascii="Century Gothic" w:hAnsi="Century Gothic" w:cs="Times New Roman"/>
          <w:b/>
          <w:bCs/>
          <w:color w:val="000000"/>
          <w:lang w:val="en-US" w:eastAsia="fr-FR"/>
        </w:rPr>
      </w:pPr>
      <w:r>
        <w:rPr>
          <w:rFonts w:ascii="Century Gothic" w:hAnsi="Century Gothic" w:cs="Times New Roman"/>
          <w:b/>
          <w:bCs/>
          <w:color w:val="000000"/>
          <w:lang w:val="en-US" w:eastAsia="fr-FR"/>
        </w:rPr>
        <w:t xml:space="preserve">Registration: </w:t>
      </w:r>
      <w:r w:rsidRPr="000A097A">
        <w:rPr>
          <w:rFonts w:ascii="Century Gothic" w:hAnsi="Century Gothic" w:cs="Times New Roman"/>
          <w:b/>
          <w:bCs/>
          <w:color w:val="000000"/>
          <w:highlight w:val="yellow"/>
          <w:lang w:val="en-US" w:eastAsia="fr-FR"/>
        </w:rPr>
        <w:t>LINK</w:t>
      </w:r>
    </w:p>
    <w:p w14:paraId="622B7C9A" w14:textId="77777777" w:rsidR="00982EC7" w:rsidRPr="0034075A" w:rsidRDefault="00982EC7" w:rsidP="001A123D">
      <w:pPr>
        <w:spacing w:line="276" w:lineRule="auto"/>
        <w:rPr>
          <w:rFonts w:ascii="Century Gothic" w:eastAsia="Times New Roman" w:hAnsi="Century Gothic" w:cs="Times New Roman"/>
          <w:lang w:val="en-US" w:eastAsia="fr-FR"/>
        </w:rPr>
      </w:pPr>
    </w:p>
    <w:p w14:paraId="3957FEA8" w14:textId="31FC8086" w:rsidR="00784FE5" w:rsidRPr="0034075A" w:rsidRDefault="00784FE5" w:rsidP="000A097A">
      <w:pPr>
        <w:spacing w:before="100" w:after="100" w:line="276" w:lineRule="auto"/>
        <w:jc w:val="center"/>
        <w:rPr>
          <w:rFonts w:ascii="Century Gothic" w:hAnsi="Century Gothic" w:cs="Times New Roman"/>
          <w:b/>
          <w:bCs/>
          <w:color w:val="000000"/>
          <w:lang w:val="en-US" w:eastAsia="fr-FR"/>
        </w:rPr>
      </w:pPr>
      <w:r w:rsidRPr="0034075A">
        <w:rPr>
          <w:rFonts w:ascii="Century Gothic" w:hAnsi="Century Gothic" w:cs="Times New Roman"/>
          <w:b/>
          <w:bCs/>
          <w:color w:val="000000"/>
          <w:lang w:val="en-US" w:eastAsia="fr-FR"/>
        </w:rPr>
        <w:t>The Right to the City in the High-Level Political Forum</w:t>
      </w:r>
    </w:p>
    <w:p w14:paraId="7FD13D48" w14:textId="77777777" w:rsidR="00784FE5" w:rsidRPr="0034075A" w:rsidRDefault="00784FE5" w:rsidP="00784FE5">
      <w:pPr>
        <w:spacing w:before="100" w:after="100" w:line="276" w:lineRule="auto"/>
        <w:jc w:val="center"/>
        <w:rPr>
          <w:rFonts w:ascii="Century Gothic" w:hAnsi="Century Gothic" w:cs="Times New Roman"/>
          <w:i/>
          <w:iCs/>
          <w:color w:val="000000"/>
          <w:lang w:val="en-US" w:eastAsia="fr-FR"/>
        </w:rPr>
      </w:pPr>
    </w:p>
    <w:p w14:paraId="1928F396" w14:textId="77777777" w:rsidR="00784FE5" w:rsidRPr="0034075A" w:rsidRDefault="00784FE5" w:rsidP="00784FE5">
      <w:pPr>
        <w:spacing w:before="100" w:after="100" w:line="276" w:lineRule="auto"/>
        <w:jc w:val="center"/>
        <w:rPr>
          <w:rFonts w:ascii="Century Gothic" w:hAnsi="Century Gothic" w:cs="Times New Roman"/>
          <w:b/>
          <w:bCs/>
          <w:color w:val="000000"/>
          <w:lang w:val="en-US" w:eastAsia="fr-FR"/>
        </w:rPr>
      </w:pPr>
      <w:r w:rsidRPr="0034075A">
        <w:rPr>
          <w:rFonts w:ascii="Century Gothic" w:hAnsi="Century Gothic" w:cs="Times New Roman"/>
          <w:i/>
          <w:iCs/>
          <w:color w:val="000000"/>
          <w:lang w:val="en-US" w:eastAsia="fr-FR"/>
        </w:rPr>
        <w:t>The Right to the City is the right of all inhabitants, present and</w:t>
      </w:r>
      <w:r w:rsidRPr="0034075A">
        <w:rPr>
          <w:rFonts w:ascii="Century Gothic" w:hAnsi="Century Gothic" w:cs="Times New Roman"/>
          <w:i/>
          <w:iCs/>
          <w:color w:val="000000"/>
          <w:lang w:val="en-US" w:eastAsia="fr-FR"/>
        </w:rPr>
        <w:br/>
        <w:t>future, permanent and temporary, to inhabit, use, occupy,</w:t>
      </w:r>
      <w:r w:rsidRPr="0034075A">
        <w:rPr>
          <w:rFonts w:ascii="Century Gothic" w:hAnsi="Century Gothic" w:cs="Times New Roman"/>
          <w:i/>
          <w:iCs/>
          <w:color w:val="000000"/>
          <w:lang w:val="en-US" w:eastAsia="fr-FR"/>
        </w:rPr>
        <w:br/>
        <w:t>produce, govern and enjoy just, inclusive, safe and sustainable</w:t>
      </w:r>
      <w:r w:rsidRPr="0034075A">
        <w:rPr>
          <w:rFonts w:ascii="Century Gothic" w:hAnsi="Century Gothic" w:cs="Times New Roman"/>
          <w:i/>
          <w:iCs/>
          <w:color w:val="000000"/>
          <w:lang w:val="en-US" w:eastAsia="fr-FR"/>
        </w:rPr>
        <w:br/>
        <w:t>cities, villages and human settlements, defined as commons</w:t>
      </w:r>
      <w:r w:rsidRPr="0034075A">
        <w:rPr>
          <w:rFonts w:ascii="Century Gothic" w:hAnsi="Century Gothic" w:cs="Times New Roman"/>
          <w:i/>
          <w:iCs/>
          <w:color w:val="000000"/>
          <w:lang w:val="en-US" w:eastAsia="fr-FR"/>
        </w:rPr>
        <w:br/>
        <w:t>essential to a full and decent life.</w:t>
      </w:r>
      <w:r w:rsidRPr="0034075A">
        <w:rPr>
          <w:rFonts w:ascii="Century Gothic" w:hAnsi="Century Gothic" w:cs="Times New Roman"/>
          <w:color w:val="000000"/>
          <w:lang w:val="en-US" w:eastAsia="fr-FR"/>
        </w:rPr>
        <w:br/>
      </w:r>
    </w:p>
    <w:p w14:paraId="531581DB" w14:textId="3EDB64EE" w:rsidR="00784FE5" w:rsidRPr="0034075A" w:rsidRDefault="00784FE5" w:rsidP="00784FE5">
      <w:pPr>
        <w:spacing w:before="100" w:after="100" w:line="276" w:lineRule="auto"/>
        <w:jc w:val="both"/>
        <w:rPr>
          <w:rFonts w:ascii="Century Gothic" w:hAnsi="Century Gothic" w:cs="Times New Roman"/>
          <w:bCs/>
          <w:color w:val="000000"/>
          <w:lang w:val="en-US" w:eastAsia="fr-FR"/>
        </w:rPr>
      </w:pPr>
      <w:r w:rsidRPr="0034075A">
        <w:rPr>
          <w:rFonts w:ascii="Century Gothic" w:hAnsi="Century Gothic" w:cs="Times New Roman"/>
          <w:bCs/>
          <w:color w:val="000000"/>
          <w:lang w:val="en-US" w:eastAsia="fr-FR"/>
        </w:rPr>
        <w:t xml:space="preserve">After the recognition of the Right to the City in the New Urban Agenda resulting from the Habitat III process, the Global Platform for the Right to the City has been working to align different international agendas and </w:t>
      </w:r>
      <w:r w:rsidR="00237BA3" w:rsidRPr="0034075A">
        <w:rPr>
          <w:rFonts w:ascii="Century Gothic" w:hAnsi="Century Gothic" w:cs="Times New Roman"/>
          <w:bCs/>
          <w:color w:val="000000"/>
          <w:lang w:val="en-US" w:eastAsia="fr-FR"/>
        </w:rPr>
        <w:t>commitments with</w:t>
      </w:r>
      <w:r w:rsidRPr="0034075A">
        <w:rPr>
          <w:rFonts w:ascii="Century Gothic" w:hAnsi="Century Gothic" w:cs="Times New Roman"/>
          <w:bCs/>
          <w:color w:val="000000"/>
          <w:lang w:val="en-US" w:eastAsia="fr-FR"/>
        </w:rPr>
        <w:t xml:space="preserve"> the 8 components of the Right to the City. The </w:t>
      </w:r>
      <w:hyperlink r:id="rId8" w:history="1">
        <w:r w:rsidRPr="0034075A">
          <w:rPr>
            <w:rStyle w:val="Hyperlink"/>
            <w:rFonts w:ascii="Century Gothic" w:hAnsi="Century Gothic" w:cs="Times New Roman"/>
            <w:bCs/>
            <w:lang w:val="en-US" w:eastAsia="fr-FR"/>
          </w:rPr>
          <w:t>Right to the City Agenda</w:t>
        </w:r>
      </w:hyperlink>
      <w:r w:rsidRPr="0034075A">
        <w:rPr>
          <w:rFonts w:ascii="Century Gothic" w:hAnsi="Century Gothic" w:cs="Times New Roman"/>
          <w:bCs/>
          <w:color w:val="000000"/>
          <w:lang w:val="en-US" w:eastAsia="fr-FR"/>
        </w:rPr>
        <w:t xml:space="preserve"> was presented during </w:t>
      </w:r>
      <w:r w:rsidR="00BE5D87" w:rsidRPr="0034075A">
        <w:rPr>
          <w:rFonts w:ascii="Century Gothic" w:hAnsi="Century Gothic" w:cs="Times New Roman"/>
          <w:bCs/>
          <w:color w:val="000000"/>
          <w:lang w:val="en-US" w:eastAsia="fr-FR"/>
        </w:rPr>
        <w:t>the High-Level Political Forum 2018</w:t>
      </w:r>
      <w:r w:rsidRPr="0034075A">
        <w:rPr>
          <w:rFonts w:ascii="Century Gothic" w:hAnsi="Century Gothic" w:cs="Times New Roman"/>
          <w:bCs/>
          <w:color w:val="000000"/>
          <w:lang w:val="en-US" w:eastAsia="fr-FR"/>
        </w:rPr>
        <w:t xml:space="preserve"> as a</w:t>
      </w:r>
      <w:r w:rsidR="00574A4B" w:rsidRPr="0034075A">
        <w:rPr>
          <w:rFonts w:ascii="Century Gothic" w:hAnsi="Century Gothic" w:cs="Times New Roman"/>
          <w:bCs/>
          <w:color w:val="000000"/>
          <w:lang w:val="en-US" w:eastAsia="fr-FR"/>
        </w:rPr>
        <w:t>n advocacy</w:t>
      </w:r>
      <w:r w:rsidR="00421150">
        <w:rPr>
          <w:rFonts w:ascii="Century Gothic" w:hAnsi="Century Gothic" w:cs="Times New Roman"/>
          <w:bCs/>
          <w:color w:val="000000"/>
          <w:lang w:val="en-US" w:eastAsia="fr-FR"/>
        </w:rPr>
        <w:t xml:space="preserve"> </w:t>
      </w:r>
      <w:r w:rsidR="00574A4B" w:rsidRPr="0034075A">
        <w:rPr>
          <w:rFonts w:ascii="Century Gothic" w:hAnsi="Century Gothic" w:cs="Times New Roman"/>
          <w:bCs/>
          <w:color w:val="000000"/>
          <w:lang w:val="en-US" w:eastAsia="fr-FR"/>
        </w:rPr>
        <w:t>tool</w:t>
      </w:r>
      <w:r w:rsidRPr="0034075A">
        <w:rPr>
          <w:rFonts w:ascii="Century Gothic" w:hAnsi="Century Gothic" w:cs="Times New Roman"/>
          <w:bCs/>
          <w:color w:val="000000"/>
          <w:lang w:val="en-US" w:eastAsia="fr-FR"/>
        </w:rPr>
        <w:t xml:space="preserve"> to show how the Right to the City is already recognized and detailed not only in the New Urban Agenda but also in the 2030 Agenda for Sustainable Development.</w:t>
      </w:r>
    </w:p>
    <w:p w14:paraId="7B238985" w14:textId="77777777" w:rsidR="00574A4B" w:rsidRPr="0034075A" w:rsidRDefault="00574A4B" w:rsidP="00784FE5">
      <w:pPr>
        <w:spacing w:before="100" w:after="100" w:line="276" w:lineRule="auto"/>
        <w:jc w:val="both"/>
        <w:rPr>
          <w:rFonts w:ascii="Century Gothic" w:hAnsi="Century Gothic" w:cs="Times New Roman"/>
          <w:bCs/>
          <w:color w:val="000000"/>
          <w:lang w:val="en-US" w:eastAsia="fr-FR"/>
        </w:rPr>
      </w:pPr>
    </w:p>
    <w:p w14:paraId="1D5FA0CA" w14:textId="77777777" w:rsidR="0003022C" w:rsidRPr="0034075A" w:rsidRDefault="00574A4B" w:rsidP="001A123D">
      <w:pPr>
        <w:spacing w:before="100" w:after="100" w:line="276" w:lineRule="auto"/>
        <w:jc w:val="both"/>
        <w:rPr>
          <w:rFonts w:ascii="Century Gothic" w:hAnsi="Century Gothic" w:cs="Times New Roman"/>
          <w:bCs/>
          <w:color w:val="000000"/>
          <w:lang w:val="en-US" w:eastAsia="fr-FR"/>
        </w:rPr>
      </w:pPr>
      <w:r w:rsidRPr="0034075A">
        <w:rPr>
          <w:rFonts w:ascii="Century Gothic" w:hAnsi="Century Gothic" w:cs="Times New Roman"/>
          <w:bCs/>
          <w:color w:val="000000"/>
          <w:lang w:val="en-US" w:eastAsia="fr-FR"/>
        </w:rPr>
        <w:t>The Right to the City reminds us of the importance of realizing the 2030 Agenda and the New Urban Agenda in the framework of human rights, to go beyond the economic logic which is currently leading the urbanization process</w:t>
      </w:r>
      <w:r w:rsidR="0069764D" w:rsidRPr="0034075A">
        <w:rPr>
          <w:rFonts w:ascii="Century Gothic" w:hAnsi="Century Gothic" w:cs="Times New Roman"/>
          <w:bCs/>
          <w:color w:val="000000"/>
          <w:lang w:val="en-US" w:eastAsia="fr-FR"/>
        </w:rPr>
        <w:t xml:space="preserve"> and </w:t>
      </w:r>
      <w:r w:rsidR="00795BE7">
        <w:rPr>
          <w:rFonts w:ascii="Century Gothic" w:hAnsi="Century Gothic" w:cs="Times New Roman"/>
          <w:bCs/>
          <w:color w:val="000000"/>
          <w:lang w:val="en-US" w:eastAsia="fr-FR"/>
        </w:rPr>
        <w:t xml:space="preserve">the </w:t>
      </w:r>
      <w:r w:rsidR="0069764D" w:rsidRPr="0034075A">
        <w:rPr>
          <w:rFonts w:ascii="Century Gothic" w:hAnsi="Century Gothic" w:cs="Times New Roman"/>
          <w:bCs/>
          <w:color w:val="000000"/>
          <w:lang w:val="en-US" w:eastAsia="fr-FR"/>
        </w:rPr>
        <w:t>underdevelopment of rural areas</w:t>
      </w:r>
      <w:r w:rsidRPr="0034075A">
        <w:rPr>
          <w:rFonts w:ascii="Century Gothic" w:hAnsi="Century Gothic" w:cs="Times New Roman"/>
          <w:bCs/>
          <w:color w:val="000000"/>
          <w:lang w:val="en-US" w:eastAsia="fr-FR"/>
        </w:rPr>
        <w:t>. It gives a common understanding and shared path for implementing these agendas</w:t>
      </w:r>
      <w:r w:rsidR="0003022C" w:rsidRPr="0034075A">
        <w:rPr>
          <w:rFonts w:ascii="Century Gothic" w:hAnsi="Century Gothic" w:cs="Times New Roman"/>
          <w:bCs/>
          <w:color w:val="000000"/>
          <w:lang w:val="en-US" w:eastAsia="fr-FR"/>
        </w:rPr>
        <w:t>.</w:t>
      </w:r>
    </w:p>
    <w:p w14:paraId="5161933E" w14:textId="1A49E4F0" w:rsidR="000A097A" w:rsidRDefault="000A097A" w:rsidP="0003022C">
      <w:pPr>
        <w:spacing w:before="100" w:after="100" w:line="276" w:lineRule="auto"/>
        <w:jc w:val="both"/>
        <w:rPr>
          <w:rFonts w:ascii="Century Gothic" w:hAnsi="Century Gothic" w:cs="Times New Roman"/>
          <w:b/>
          <w:bCs/>
          <w:color w:val="000000"/>
          <w:lang w:val="en-US" w:eastAsia="fr-FR"/>
        </w:rPr>
      </w:pPr>
    </w:p>
    <w:p w14:paraId="1FE09AD7" w14:textId="77777777" w:rsidR="001A7B61" w:rsidRDefault="001A7B61" w:rsidP="0003022C">
      <w:pPr>
        <w:spacing w:before="100" w:after="100" w:line="276" w:lineRule="auto"/>
        <w:jc w:val="both"/>
        <w:rPr>
          <w:rFonts w:ascii="Century Gothic" w:hAnsi="Century Gothic" w:cs="Times New Roman"/>
          <w:b/>
          <w:bCs/>
          <w:color w:val="000000"/>
          <w:lang w:val="en-US" w:eastAsia="fr-FR"/>
        </w:rPr>
      </w:pPr>
    </w:p>
    <w:p w14:paraId="65FC2881" w14:textId="553E481E" w:rsidR="0003022C" w:rsidRPr="0034075A" w:rsidRDefault="00605CD3" w:rsidP="008F7942">
      <w:pPr>
        <w:spacing w:before="100" w:after="100" w:line="276" w:lineRule="auto"/>
        <w:jc w:val="both"/>
        <w:rPr>
          <w:rFonts w:ascii="Century Gothic" w:hAnsi="Century Gothic" w:cs="Times New Roman"/>
          <w:b/>
          <w:bCs/>
          <w:color w:val="000000"/>
          <w:lang w:val="en-US" w:eastAsia="fr-FR"/>
        </w:rPr>
      </w:pPr>
      <w:r w:rsidRPr="0034075A">
        <w:rPr>
          <w:rFonts w:ascii="Century Gothic" w:hAnsi="Century Gothic" w:cs="Times New Roman"/>
          <w:b/>
          <w:bCs/>
          <w:color w:val="000000"/>
          <w:lang w:val="en-US" w:eastAsia="fr-FR"/>
        </w:rPr>
        <w:lastRenderedPageBreak/>
        <w:t>Territories</w:t>
      </w:r>
      <w:r w:rsidR="0003022C" w:rsidRPr="0034075A">
        <w:rPr>
          <w:rFonts w:ascii="Century Gothic" w:hAnsi="Century Gothic" w:cs="Times New Roman"/>
          <w:b/>
          <w:bCs/>
          <w:color w:val="000000"/>
          <w:lang w:val="en-US" w:eastAsia="fr-FR"/>
        </w:rPr>
        <w:t xml:space="preserve"> and Rural-urban linkages in the Right to the City</w:t>
      </w:r>
    </w:p>
    <w:p w14:paraId="15AABC66" w14:textId="77777777" w:rsidR="00574A4B" w:rsidRPr="0034075A" w:rsidRDefault="00574A4B" w:rsidP="008F7942">
      <w:pPr>
        <w:spacing w:before="100" w:after="100" w:line="276" w:lineRule="auto"/>
        <w:jc w:val="both"/>
        <w:rPr>
          <w:rFonts w:ascii="Century Gothic" w:hAnsi="Century Gothic" w:cs="Times New Roman"/>
          <w:bCs/>
          <w:color w:val="000000"/>
          <w:lang w:val="en-US" w:eastAsia="fr-FR"/>
        </w:rPr>
      </w:pPr>
      <w:r w:rsidRPr="0034075A">
        <w:rPr>
          <w:rFonts w:ascii="Century Gothic" w:hAnsi="Century Gothic" w:cs="Times New Roman"/>
          <w:bCs/>
          <w:color w:val="000000"/>
          <w:lang w:val="en-US" w:eastAsia="fr-FR"/>
        </w:rPr>
        <w:t>One of the components of the Right to the City is that of inclusive rural-urban linkages:</w:t>
      </w:r>
    </w:p>
    <w:p w14:paraId="520A5F3C" w14:textId="77777777" w:rsidR="00237BA3" w:rsidRPr="0034075A" w:rsidRDefault="00237BA3" w:rsidP="001A123D">
      <w:pPr>
        <w:spacing w:before="100" w:after="100" w:line="276" w:lineRule="auto"/>
        <w:jc w:val="both"/>
        <w:rPr>
          <w:rFonts w:ascii="Century Gothic" w:hAnsi="Century Gothic" w:cs="Times New Roman"/>
          <w:bCs/>
          <w:color w:val="000000"/>
          <w:lang w:val="en-US" w:eastAsia="fr-FR"/>
        </w:rPr>
      </w:pPr>
    </w:p>
    <w:p w14:paraId="72F453E4" w14:textId="01BBC68C" w:rsidR="00574A4B" w:rsidRPr="0034075A" w:rsidRDefault="00574A4B" w:rsidP="00574A4B">
      <w:pPr>
        <w:spacing w:before="100" w:after="100" w:line="276" w:lineRule="auto"/>
        <w:jc w:val="center"/>
        <w:rPr>
          <w:rFonts w:ascii="Century Gothic" w:hAnsi="Century Gothic" w:cs="Times New Roman"/>
          <w:bCs/>
          <w:i/>
          <w:color w:val="000000"/>
          <w:lang w:val="en-US" w:eastAsia="fr-FR"/>
        </w:rPr>
      </w:pPr>
      <w:r w:rsidRPr="0034075A">
        <w:rPr>
          <w:rFonts w:ascii="Century Gothic" w:hAnsi="Century Gothic" w:cs="Times New Roman"/>
          <w:bCs/>
          <w:i/>
          <w:color w:val="000000"/>
          <w:lang w:val="en-US" w:eastAsia="fr-FR"/>
        </w:rPr>
        <w:t>A sustainable city/human settlement with inclusive rural-urban linkages that benefit poor people, both in rural and urban areas, and ensure food sovereignty; a city/human settlement that protects biodiversity, natural habitats, and surrounding ecosystems.</w:t>
      </w:r>
    </w:p>
    <w:p w14:paraId="22433C87" w14:textId="77777777" w:rsidR="00237BA3" w:rsidRPr="0034075A" w:rsidRDefault="00237BA3" w:rsidP="008F7942">
      <w:pPr>
        <w:spacing w:before="100" w:after="100" w:line="276" w:lineRule="auto"/>
        <w:jc w:val="both"/>
        <w:rPr>
          <w:rFonts w:ascii="Century Gothic" w:hAnsi="Century Gothic" w:cs="Times New Roman"/>
          <w:bCs/>
          <w:i/>
          <w:color w:val="000000"/>
          <w:lang w:val="en-US" w:eastAsia="fr-FR"/>
        </w:rPr>
      </w:pPr>
    </w:p>
    <w:p w14:paraId="0875D3B3" w14:textId="318B1A8F" w:rsidR="00BE5D87" w:rsidRPr="0034075A" w:rsidRDefault="00102A73" w:rsidP="008F7942">
      <w:pPr>
        <w:spacing w:before="100" w:after="100" w:line="276" w:lineRule="auto"/>
        <w:jc w:val="both"/>
        <w:rPr>
          <w:rFonts w:ascii="Century Gothic" w:hAnsi="Century Gothic" w:cs="Times New Roman"/>
          <w:bCs/>
          <w:color w:val="000000"/>
          <w:lang w:val="en-US" w:eastAsia="fr-FR"/>
        </w:rPr>
      </w:pPr>
      <w:r w:rsidRPr="0034075A">
        <w:rPr>
          <w:rFonts w:ascii="Century Gothic" w:hAnsi="Century Gothic" w:cs="Times New Roman"/>
          <w:bCs/>
          <w:color w:val="000000"/>
          <w:lang w:val="en-US" w:eastAsia="fr-FR"/>
        </w:rPr>
        <w:t xml:space="preserve">This component is directly connected to at least </w:t>
      </w:r>
      <w:r w:rsidRPr="0034075A">
        <w:rPr>
          <w:rFonts w:ascii="Century Gothic" w:hAnsi="Century Gothic" w:cs="Times New Roman"/>
          <w:b/>
          <w:bCs/>
          <w:color w:val="000000"/>
          <w:lang w:val="en-US" w:eastAsia="fr-FR"/>
        </w:rPr>
        <w:t xml:space="preserve">6 Sustainable Development Goals, </w:t>
      </w:r>
      <w:r w:rsidR="00BE5D87" w:rsidRPr="0034075A">
        <w:rPr>
          <w:rFonts w:ascii="Century Gothic" w:hAnsi="Century Gothic" w:cs="Times New Roman"/>
          <w:b/>
          <w:bCs/>
          <w:color w:val="000000"/>
          <w:lang w:val="en-US" w:eastAsia="fr-FR"/>
        </w:rPr>
        <w:t>including Goal Nº8</w:t>
      </w:r>
      <w:r w:rsidR="00421150">
        <w:rPr>
          <w:rFonts w:ascii="Century Gothic" w:hAnsi="Century Gothic" w:cs="Times New Roman"/>
          <w:bCs/>
          <w:color w:val="000000"/>
          <w:lang w:val="en-US" w:eastAsia="fr-FR"/>
        </w:rPr>
        <w:t>,</w:t>
      </w:r>
      <w:r w:rsidR="00795BE7" w:rsidRPr="0034075A">
        <w:rPr>
          <w:rFonts w:ascii="Century Gothic" w:hAnsi="Century Gothic" w:cs="Times New Roman"/>
          <w:bCs/>
          <w:color w:val="000000"/>
          <w:lang w:val="en-US" w:eastAsia="fr-FR"/>
        </w:rPr>
        <w:t xml:space="preserve"> </w:t>
      </w:r>
      <w:r w:rsidR="00795BE7" w:rsidRPr="0034075A">
        <w:rPr>
          <w:rFonts w:ascii="Century Gothic" w:hAnsi="Century Gothic" w:cs="Times New Roman"/>
          <w:b/>
          <w:bCs/>
          <w:color w:val="000000"/>
          <w:lang w:val="en-US" w:eastAsia="fr-FR"/>
        </w:rPr>
        <w:t>Goal Nº10</w:t>
      </w:r>
      <w:r w:rsidR="00421150" w:rsidRPr="009B1606">
        <w:rPr>
          <w:rFonts w:ascii="Century Gothic" w:hAnsi="Century Gothic" w:cs="Times New Roman"/>
          <w:color w:val="000000"/>
          <w:lang w:val="en-US" w:eastAsia="fr-FR"/>
        </w:rPr>
        <w:t>, and</w:t>
      </w:r>
      <w:r w:rsidR="00421150">
        <w:rPr>
          <w:rFonts w:ascii="Century Gothic" w:hAnsi="Century Gothic" w:cs="Times New Roman"/>
          <w:b/>
          <w:bCs/>
          <w:color w:val="000000"/>
          <w:lang w:val="en-US" w:eastAsia="fr-FR"/>
        </w:rPr>
        <w:t xml:space="preserve"> Goal</w:t>
      </w:r>
      <w:r w:rsidR="00421150" w:rsidRPr="00421150">
        <w:rPr>
          <w:rFonts w:ascii="Century Gothic" w:hAnsi="Century Gothic" w:cs="Times New Roman"/>
          <w:b/>
          <w:bCs/>
          <w:color w:val="000000"/>
          <w:lang w:val="en-US" w:eastAsia="fr-FR"/>
        </w:rPr>
        <w:t xml:space="preserve"> </w:t>
      </w:r>
      <w:r w:rsidR="00421150">
        <w:rPr>
          <w:rFonts w:ascii="Century Gothic" w:hAnsi="Century Gothic" w:cs="Times New Roman"/>
          <w:b/>
          <w:bCs/>
          <w:color w:val="000000"/>
          <w:lang w:val="en-US" w:eastAsia="fr-FR"/>
        </w:rPr>
        <w:t>N</w:t>
      </w:r>
      <w:r w:rsidR="00421150" w:rsidRPr="0034075A">
        <w:rPr>
          <w:rFonts w:ascii="Century Gothic" w:hAnsi="Century Gothic" w:cs="Times New Roman"/>
          <w:b/>
          <w:bCs/>
          <w:color w:val="000000"/>
          <w:lang w:val="en-US" w:eastAsia="fr-FR"/>
        </w:rPr>
        <w:t>º1</w:t>
      </w:r>
      <w:r w:rsidR="00421150">
        <w:rPr>
          <w:rFonts w:ascii="Century Gothic" w:hAnsi="Century Gothic" w:cs="Times New Roman"/>
          <w:b/>
          <w:bCs/>
          <w:color w:val="000000"/>
          <w:lang w:val="en-US" w:eastAsia="fr-FR"/>
        </w:rPr>
        <w:t>3</w:t>
      </w:r>
      <w:r w:rsidR="00795BE7">
        <w:rPr>
          <w:rFonts w:ascii="Century Gothic" w:hAnsi="Century Gothic" w:cs="Times New Roman"/>
          <w:b/>
          <w:bCs/>
          <w:color w:val="000000"/>
          <w:lang w:val="en-US" w:eastAsia="fr-FR"/>
        </w:rPr>
        <w:t xml:space="preserve"> </w:t>
      </w:r>
      <w:r w:rsidR="00BE5D87" w:rsidRPr="0034075A">
        <w:rPr>
          <w:rFonts w:ascii="Century Gothic" w:hAnsi="Century Gothic" w:cs="Times New Roman"/>
          <w:bCs/>
          <w:color w:val="000000"/>
          <w:lang w:val="en-US" w:eastAsia="fr-FR"/>
        </w:rPr>
        <w:t>being reviewed this year: "Promote sustained, inclusive and sustainable economic growth, full and productive employment and decent work for all"</w:t>
      </w:r>
      <w:r w:rsidR="00795BE7">
        <w:rPr>
          <w:rFonts w:ascii="Century Gothic" w:hAnsi="Century Gothic" w:cs="Times New Roman"/>
          <w:bCs/>
          <w:color w:val="000000"/>
          <w:lang w:val="en-US" w:eastAsia="fr-FR"/>
        </w:rPr>
        <w:t xml:space="preserve">; </w:t>
      </w:r>
      <w:r w:rsidR="0069764D" w:rsidRPr="0034075A">
        <w:rPr>
          <w:rFonts w:ascii="Century Gothic" w:hAnsi="Century Gothic" w:cs="Times New Roman"/>
          <w:bCs/>
          <w:color w:val="000000"/>
          <w:lang w:val="en-US" w:eastAsia="fr-FR"/>
        </w:rPr>
        <w:t>“Reduce Inequalities within and among countries”</w:t>
      </w:r>
      <w:r w:rsidR="00421150">
        <w:rPr>
          <w:rFonts w:ascii="Century Gothic" w:hAnsi="Century Gothic" w:cs="Times New Roman"/>
          <w:bCs/>
          <w:color w:val="000000"/>
          <w:lang w:val="en-US" w:eastAsia="fr-FR"/>
        </w:rPr>
        <w:t>; and “</w:t>
      </w:r>
      <w:r w:rsidR="00421150" w:rsidRPr="00421150">
        <w:rPr>
          <w:rFonts w:ascii="Century Gothic" w:hAnsi="Century Gothic" w:cs="Times New Roman"/>
          <w:bCs/>
          <w:color w:val="000000"/>
          <w:lang w:val="en-US" w:eastAsia="fr-FR"/>
        </w:rPr>
        <w:t>Take urgent action to combat climate change and its impacts</w:t>
      </w:r>
      <w:r w:rsidR="0069764D" w:rsidRPr="0034075A">
        <w:rPr>
          <w:rFonts w:ascii="Century Gothic" w:hAnsi="Century Gothic" w:cs="Times New Roman"/>
          <w:bCs/>
          <w:color w:val="000000"/>
          <w:lang w:val="en-US" w:eastAsia="fr-FR"/>
        </w:rPr>
        <w:t>.</w:t>
      </w:r>
      <w:r w:rsidR="00421150">
        <w:rPr>
          <w:rFonts w:ascii="Century Gothic" w:hAnsi="Century Gothic" w:cs="Times New Roman"/>
          <w:bCs/>
          <w:color w:val="000000"/>
          <w:lang w:val="en-US" w:eastAsia="fr-FR"/>
        </w:rPr>
        <w:t>”</w:t>
      </w:r>
    </w:p>
    <w:p w14:paraId="2B472689" w14:textId="77777777" w:rsidR="00DC3ED1" w:rsidRPr="0034075A" w:rsidRDefault="00DC3ED1" w:rsidP="008F7942">
      <w:pPr>
        <w:spacing w:before="100" w:after="100" w:line="276" w:lineRule="auto"/>
        <w:jc w:val="both"/>
        <w:rPr>
          <w:rFonts w:ascii="Century Gothic" w:hAnsi="Century Gothic" w:cs="Times New Roman"/>
          <w:bCs/>
          <w:color w:val="000000"/>
          <w:lang w:val="en-US" w:eastAsia="fr-FR"/>
        </w:rPr>
      </w:pPr>
      <w:r w:rsidRPr="0034075A">
        <w:rPr>
          <w:rFonts w:ascii="Century Gothic" w:hAnsi="Century Gothic" w:cs="Times New Roman"/>
          <w:bCs/>
          <w:color w:val="000000"/>
          <w:lang w:val="en-US" w:eastAsia="fr-FR"/>
        </w:rPr>
        <w:t xml:space="preserve">It is therefore appropriate that </w:t>
      </w:r>
      <w:r w:rsidR="00736F43" w:rsidRPr="0034075A">
        <w:rPr>
          <w:rFonts w:ascii="Century Gothic" w:hAnsi="Century Gothic" w:cs="Times New Roman"/>
          <w:bCs/>
          <w:color w:val="000000"/>
          <w:lang w:val="en-US" w:eastAsia="fr-FR"/>
        </w:rPr>
        <w:t>we organize a side event on rural-urban linka</w:t>
      </w:r>
      <w:r w:rsidR="00237BA3" w:rsidRPr="0034075A">
        <w:rPr>
          <w:rFonts w:ascii="Century Gothic" w:hAnsi="Century Gothic" w:cs="Times New Roman"/>
          <w:bCs/>
          <w:color w:val="000000"/>
          <w:lang w:val="en-US" w:eastAsia="fr-FR"/>
        </w:rPr>
        <w:t>ges, the Right to Food and the Right to the C</w:t>
      </w:r>
      <w:r w:rsidR="00736F43" w:rsidRPr="0034075A">
        <w:rPr>
          <w:rFonts w:ascii="Century Gothic" w:hAnsi="Century Gothic" w:cs="Times New Roman"/>
          <w:bCs/>
          <w:color w:val="000000"/>
          <w:lang w:val="en-US" w:eastAsia="fr-FR"/>
        </w:rPr>
        <w:t>ity. This will give us an opportunity to assess the fulfillment of the Sustainable Development Goals regarding rural-urban linkages, access to healthy and affordable food, and sustainability concerns related to urbanization.</w:t>
      </w:r>
    </w:p>
    <w:p w14:paraId="639E2B90" w14:textId="77777777" w:rsidR="00736F43" w:rsidRPr="0034075A" w:rsidRDefault="00736F43" w:rsidP="008F7942">
      <w:pPr>
        <w:spacing w:before="100" w:after="100" w:line="276" w:lineRule="auto"/>
        <w:jc w:val="both"/>
        <w:rPr>
          <w:rFonts w:ascii="Century Gothic" w:hAnsi="Century Gothic" w:cs="Times New Roman"/>
          <w:bCs/>
          <w:color w:val="000000"/>
          <w:lang w:val="en-US" w:eastAsia="fr-FR"/>
        </w:rPr>
      </w:pPr>
    </w:p>
    <w:p w14:paraId="45FA0C54" w14:textId="77777777" w:rsidR="00784FE5" w:rsidRPr="0034075A" w:rsidRDefault="00736F43" w:rsidP="008F7942">
      <w:pPr>
        <w:spacing w:before="100" w:after="100" w:line="276" w:lineRule="auto"/>
        <w:jc w:val="both"/>
        <w:rPr>
          <w:rFonts w:ascii="Century Gothic" w:hAnsi="Century Gothic" w:cs="Times New Roman"/>
          <w:b/>
          <w:bCs/>
          <w:color w:val="000000"/>
          <w:lang w:val="en-US" w:eastAsia="fr-FR"/>
        </w:rPr>
      </w:pPr>
      <w:r w:rsidRPr="0034075A">
        <w:rPr>
          <w:rFonts w:ascii="Century Gothic" w:hAnsi="Century Gothic" w:cs="Times New Roman"/>
          <w:b/>
          <w:bCs/>
          <w:color w:val="000000"/>
          <w:lang w:val="en-US" w:eastAsia="fr-FR"/>
        </w:rPr>
        <w:t>The Side Event</w:t>
      </w:r>
    </w:p>
    <w:p w14:paraId="24B7C444" w14:textId="6135FDBC" w:rsidR="00605CD3" w:rsidRPr="0034075A" w:rsidRDefault="00736F43" w:rsidP="008F7942">
      <w:pPr>
        <w:spacing w:line="276" w:lineRule="auto"/>
        <w:jc w:val="both"/>
        <w:rPr>
          <w:rFonts w:ascii="Century Gothic" w:hAnsi="Century Gothic" w:cs="Times New Roman"/>
          <w:bCs/>
          <w:color w:val="000000"/>
          <w:lang w:val="en-US" w:eastAsia="fr-FR"/>
        </w:rPr>
      </w:pPr>
      <w:r w:rsidRPr="0034075A">
        <w:rPr>
          <w:rFonts w:ascii="Century Gothic" w:hAnsi="Century Gothic" w:cs="Times New Roman"/>
          <w:bCs/>
          <w:color w:val="000000"/>
          <w:lang w:val="en-US" w:eastAsia="fr-FR"/>
        </w:rPr>
        <w:t xml:space="preserve">We </w:t>
      </w:r>
      <w:r w:rsidR="00237BA3" w:rsidRPr="0034075A">
        <w:rPr>
          <w:rFonts w:ascii="Century Gothic" w:hAnsi="Century Gothic" w:cs="Times New Roman"/>
          <w:bCs/>
          <w:color w:val="000000"/>
          <w:lang w:val="en-US" w:eastAsia="fr-FR"/>
        </w:rPr>
        <w:t xml:space="preserve">want to organize an event </w:t>
      </w:r>
      <w:r w:rsidR="00911966" w:rsidRPr="0034075A">
        <w:rPr>
          <w:rFonts w:ascii="Century Gothic" w:hAnsi="Century Gothic" w:cs="Times New Roman"/>
          <w:bCs/>
          <w:color w:val="000000"/>
          <w:lang w:val="en-US" w:eastAsia="fr-FR"/>
        </w:rPr>
        <w:t xml:space="preserve">during the High-Level Political Forum, </w:t>
      </w:r>
      <w:r w:rsidR="00237BA3" w:rsidRPr="0034075A">
        <w:rPr>
          <w:rFonts w:ascii="Century Gothic" w:hAnsi="Century Gothic" w:cs="Times New Roman"/>
          <w:bCs/>
          <w:color w:val="000000"/>
          <w:lang w:val="en-US" w:eastAsia="fr-FR"/>
        </w:rPr>
        <w:t>outside the United Nations Headquarters</w:t>
      </w:r>
      <w:r w:rsidR="00911966" w:rsidRPr="0034075A">
        <w:rPr>
          <w:rFonts w:ascii="Century Gothic" w:hAnsi="Century Gothic" w:cs="Times New Roman"/>
          <w:bCs/>
          <w:color w:val="000000"/>
          <w:lang w:val="en-US" w:eastAsia="fr-FR"/>
        </w:rPr>
        <w:t>,</w:t>
      </w:r>
      <w:r w:rsidR="00237BA3" w:rsidRPr="0034075A">
        <w:rPr>
          <w:rFonts w:ascii="Century Gothic" w:hAnsi="Century Gothic" w:cs="Times New Roman"/>
          <w:bCs/>
          <w:color w:val="000000"/>
          <w:lang w:val="en-US" w:eastAsia="fr-FR"/>
        </w:rPr>
        <w:t xml:space="preserve"> directed towards Civil Society Organizations, UN Member States, Local and Regional governments, as well as local and international grassroots</w:t>
      </w:r>
      <w:r w:rsidR="000653A7">
        <w:rPr>
          <w:rFonts w:ascii="Century Gothic" w:hAnsi="Century Gothic" w:cs="Times New Roman"/>
          <w:bCs/>
          <w:color w:val="000000"/>
          <w:lang w:val="en-US" w:eastAsia="fr-FR"/>
        </w:rPr>
        <w:t xml:space="preserve"> organizations</w:t>
      </w:r>
      <w:r w:rsidR="00237BA3" w:rsidRPr="0034075A">
        <w:rPr>
          <w:rFonts w:ascii="Century Gothic" w:hAnsi="Century Gothic" w:cs="Times New Roman"/>
          <w:bCs/>
          <w:color w:val="000000"/>
          <w:lang w:val="en-US" w:eastAsia="fr-FR"/>
        </w:rPr>
        <w:t>, to jointly assess current trends and challenges for the implementation of the Right to the City regarding rural-urban linkages</w:t>
      </w:r>
      <w:r w:rsidR="00795BE7">
        <w:rPr>
          <w:rFonts w:ascii="Century Gothic" w:hAnsi="Century Gothic" w:cs="Times New Roman"/>
          <w:bCs/>
          <w:color w:val="000000"/>
          <w:lang w:val="en-US" w:eastAsia="fr-FR"/>
        </w:rPr>
        <w:t>,</w:t>
      </w:r>
      <w:r w:rsidR="00605CD3" w:rsidRPr="0034075A">
        <w:rPr>
          <w:rFonts w:ascii="Century Gothic" w:hAnsi="Century Gothic" w:cs="Times New Roman"/>
          <w:bCs/>
          <w:color w:val="000000"/>
          <w:lang w:val="en-US" w:eastAsia="fr-FR"/>
        </w:rPr>
        <w:t xml:space="preserve"> in the context of territorial food systems for the Right to Food and Nutrition.</w:t>
      </w:r>
    </w:p>
    <w:p w14:paraId="38F11EB3" w14:textId="77777777" w:rsidR="00605CD3" w:rsidRPr="0034075A" w:rsidRDefault="00605CD3" w:rsidP="008F7942">
      <w:pPr>
        <w:spacing w:line="276" w:lineRule="auto"/>
        <w:jc w:val="both"/>
        <w:rPr>
          <w:rFonts w:ascii="Century Gothic" w:hAnsi="Century Gothic" w:cs="Times New Roman"/>
          <w:bCs/>
          <w:color w:val="000000"/>
          <w:lang w:val="en-US" w:eastAsia="fr-FR"/>
        </w:rPr>
      </w:pPr>
    </w:p>
    <w:p w14:paraId="15338322" w14:textId="6E8B6C7C" w:rsidR="00605CD3" w:rsidRPr="0034075A" w:rsidRDefault="00605CD3" w:rsidP="008F7942">
      <w:pPr>
        <w:spacing w:line="276" w:lineRule="auto"/>
        <w:jc w:val="both"/>
        <w:rPr>
          <w:rFonts w:ascii="Century Gothic" w:hAnsi="Century Gothic" w:cs="Times New Roman"/>
          <w:bCs/>
          <w:color w:val="000000"/>
          <w:lang w:val="en-US" w:eastAsia="fr-FR"/>
        </w:rPr>
      </w:pPr>
      <w:r w:rsidRPr="0034075A">
        <w:rPr>
          <w:rFonts w:ascii="Century Gothic" w:hAnsi="Century Gothic" w:cs="Times New Roman"/>
          <w:bCs/>
          <w:color w:val="000000"/>
          <w:lang w:val="en-US" w:eastAsia="fr-FR"/>
        </w:rPr>
        <w:t xml:space="preserve">The Right to Food and Nutrition is a critical issue in the context of the Right to the City, as it addresses not only access to food, but also </w:t>
      </w:r>
      <w:r w:rsidR="004C60AC" w:rsidRPr="0034075A">
        <w:rPr>
          <w:rFonts w:ascii="Century Gothic" w:hAnsi="Century Gothic" w:cs="Times New Roman"/>
          <w:bCs/>
          <w:color w:val="000000"/>
          <w:lang w:val="en-US" w:eastAsia="fr-FR"/>
        </w:rPr>
        <w:t xml:space="preserve">social inclusion, and </w:t>
      </w:r>
      <w:r w:rsidRPr="0034075A">
        <w:rPr>
          <w:rFonts w:ascii="Century Gothic" w:hAnsi="Century Gothic" w:cs="Times New Roman"/>
          <w:bCs/>
          <w:color w:val="000000"/>
          <w:lang w:val="en-US" w:eastAsia="fr-FR"/>
        </w:rPr>
        <w:t xml:space="preserve">the rights of those persons producing food and working within the </w:t>
      </w:r>
      <w:r w:rsidR="00FF4780">
        <w:rPr>
          <w:rFonts w:ascii="Century Gothic" w:hAnsi="Century Gothic" w:cs="Times New Roman"/>
          <w:bCs/>
          <w:color w:val="000000"/>
          <w:lang w:val="en-US" w:eastAsia="fr-FR"/>
        </w:rPr>
        <w:t>territorial</w:t>
      </w:r>
      <w:r w:rsidR="00795BE7">
        <w:rPr>
          <w:rFonts w:ascii="Century Gothic" w:hAnsi="Century Gothic" w:cs="Times New Roman"/>
          <w:bCs/>
          <w:color w:val="000000"/>
          <w:lang w:val="en-US" w:eastAsia="fr-FR"/>
        </w:rPr>
        <w:t xml:space="preserve"> </w:t>
      </w:r>
      <w:r w:rsidRPr="0034075A">
        <w:rPr>
          <w:rFonts w:ascii="Century Gothic" w:hAnsi="Century Gothic" w:cs="Times New Roman"/>
          <w:bCs/>
          <w:color w:val="000000"/>
          <w:lang w:val="en-US" w:eastAsia="fr-FR"/>
        </w:rPr>
        <w:t>food system (i</w:t>
      </w:r>
      <w:r w:rsidR="009B1606">
        <w:rPr>
          <w:rFonts w:ascii="Century Gothic" w:hAnsi="Century Gothic" w:cs="Times New Roman"/>
          <w:bCs/>
          <w:color w:val="000000"/>
          <w:lang w:val="en-US" w:eastAsia="fr-FR"/>
        </w:rPr>
        <w:t>.</w:t>
      </w:r>
      <w:r w:rsidRPr="0034075A">
        <w:rPr>
          <w:rFonts w:ascii="Century Gothic" w:hAnsi="Century Gothic" w:cs="Times New Roman"/>
          <w:bCs/>
          <w:color w:val="000000"/>
          <w:lang w:val="en-US" w:eastAsia="fr-FR"/>
        </w:rPr>
        <w:t>e</w:t>
      </w:r>
      <w:r w:rsidR="009B1606">
        <w:rPr>
          <w:rFonts w:ascii="Century Gothic" w:hAnsi="Century Gothic" w:cs="Times New Roman"/>
          <w:bCs/>
          <w:color w:val="000000"/>
          <w:lang w:val="en-US" w:eastAsia="fr-FR"/>
        </w:rPr>
        <w:t>.</w:t>
      </w:r>
      <w:r w:rsidR="00795BE7">
        <w:rPr>
          <w:rFonts w:ascii="Century Gothic" w:hAnsi="Century Gothic" w:cs="Times New Roman"/>
          <w:bCs/>
          <w:color w:val="000000"/>
          <w:lang w:val="en-US" w:eastAsia="fr-FR"/>
        </w:rPr>
        <w:t xml:space="preserve"> </w:t>
      </w:r>
      <w:r w:rsidRPr="0034075A">
        <w:rPr>
          <w:rFonts w:ascii="Century Gothic" w:hAnsi="Century Gothic" w:cs="Times New Roman"/>
          <w:bCs/>
          <w:color w:val="000000"/>
          <w:lang w:val="en-US" w:eastAsia="fr-FR"/>
        </w:rPr>
        <w:t>agricultural</w:t>
      </w:r>
      <w:r w:rsidR="00795BE7">
        <w:rPr>
          <w:rFonts w:ascii="Century Gothic" w:hAnsi="Century Gothic" w:cs="Times New Roman"/>
          <w:bCs/>
          <w:color w:val="000000"/>
          <w:lang w:val="en-US" w:eastAsia="fr-FR"/>
        </w:rPr>
        <w:t xml:space="preserve"> </w:t>
      </w:r>
      <w:r w:rsidRPr="0034075A">
        <w:rPr>
          <w:rFonts w:ascii="Century Gothic" w:hAnsi="Century Gothic" w:cs="Times New Roman"/>
          <w:bCs/>
          <w:color w:val="000000"/>
          <w:lang w:val="en-US" w:eastAsia="fr-FR"/>
        </w:rPr>
        <w:t>workers, etc.), across rural and urban spaces. Realizing the Right to Food and Nutrition</w:t>
      </w:r>
      <w:r w:rsidR="004C60AC" w:rsidRPr="0034075A">
        <w:rPr>
          <w:rFonts w:ascii="Century Gothic" w:hAnsi="Century Gothic" w:cs="Times New Roman"/>
          <w:bCs/>
          <w:color w:val="000000"/>
          <w:lang w:val="en-US" w:eastAsia="fr-FR"/>
        </w:rPr>
        <w:t xml:space="preserve"> cannot be delinked from the </w:t>
      </w:r>
      <w:r w:rsidR="004C60AC" w:rsidRPr="0034075A">
        <w:rPr>
          <w:rFonts w:ascii="Century Gothic" w:hAnsi="Century Gothic" w:cs="Times New Roman"/>
          <w:bCs/>
          <w:color w:val="000000"/>
          <w:lang w:val="en-US" w:eastAsia="fr-FR"/>
        </w:rPr>
        <w:lastRenderedPageBreak/>
        <w:t>realization of other ESC rights such as the Right to Housing, the Right to Health, Right to Decent Work, or Women’s Rights, among others. Realizing the Right to Food in the context also means</w:t>
      </w:r>
      <w:r w:rsidRPr="0034075A">
        <w:rPr>
          <w:rFonts w:ascii="Century Gothic" w:hAnsi="Century Gothic" w:cs="Times New Roman"/>
          <w:bCs/>
          <w:color w:val="000000"/>
          <w:lang w:val="en-US" w:eastAsia="fr-FR"/>
        </w:rPr>
        <w:t xml:space="preserve"> creating accessible, participatory, and accountable</w:t>
      </w:r>
      <w:r w:rsidR="000653A7">
        <w:rPr>
          <w:rFonts w:ascii="Century Gothic" w:hAnsi="Century Gothic" w:cs="Times New Roman"/>
          <w:bCs/>
          <w:color w:val="000000"/>
          <w:lang w:val="en-US" w:eastAsia="fr-FR"/>
        </w:rPr>
        <w:t xml:space="preserve"> </w:t>
      </w:r>
      <w:r w:rsidRPr="0034075A">
        <w:rPr>
          <w:rFonts w:ascii="Century Gothic" w:hAnsi="Century Gothic" w:cs="Times New Roman"/>
          <w:bCs/>
          <w:color w:val="000000"/>
          <w:lang w:val="en-US" w:eastAsia="fr-FR"/>
        </w:rPr>
        <w:t>policy spaces and policies which address the needs and</w:t>
      </w:r>
      <w:r w:rsidR="000653A7">
        <w:rPr>
          <w:rFonts w:ascii="Century Gothic" w:hAnsi="Century Gothic" w:cs="Times New Roman"/>
          <w:bCs/>
          <w:color w:val="000000"/>
          <w:lang w:val="en-US" w:eastAsia="fr-FR"/>
        </w:rPr>
        <w:t>,</w:t>
      </w:r>
      <w:r w:rsidRPr="0034075A">
        <w:rPr>
          <w:rFonts w:ascii="Century Gothic" w:hAnsi="Century Gothic" w:cs="Times New Roman"/>
          <w:bCs/>
          <w:color w:val="000000"/>
          <w:lang w:val="en-US" w:eastAsia="fr-FR"/>
        </w:rPr>
        <w:t xml:space="preserve"> in many cases, the violations of rights, faced by many communities. </w:t>
      </w:r>
    </w:p>
    <w:p w14:paraId="743A7B7A" w14:textId="77777777" w:rsidR="00605CD3" w:rsidRPr="0034075A" w:rsidRDefault="00605CD3" w:rsidP="008F7942">
      <w:pPr>
        <w:spacing w:line="276" w:lineRule="auto"/>
        <w:jc w:val="both"/>
        <w:rPr>
          <w:rFonts w:ascii="Century Gothic" w:hAnsi="Century Gothic" w:cs="Times New Roman"/>
          <w:bCs/>
          <w:color w:val="000000"/>
          <w:lang w:val="en-US" w:eastAsia="fr-FR"/>
        </w:rPr>
      </w:pPr>
    </w:p>
    <w:p w14:paraId="029FE625" w14:textId="6761F667" w:rsidR="00982EC7" w:rsidRPr="0034075A" w:rsidRDefault="004D75BD" w:rsidP="008F7942">
      <w:pPr>
        <w:spacing w:line="276" w:lineRule="auto"/>
        <w:jc w:val="both"/>
        <w:rPr>
          <w:rFonts w:ascii="Century Gothic" w:hAnsi="Century Gothic" w:cs="Times New Roman"/>
          <w:bCs/>
          <w:color w:val="000000"/>
          <w:lang w:val="en-US" w:eastAsia="fr-FR"/>
        </w:rPr>
      </w:pPr>
      <w:r>
        <w:rPr>
          <w:rFonts w:ascii="Century Gothic" w:hAnsi="Century Gothic"/>
          <w:lang w:val="en-US"/>
        </w:rPr>
        <w:t>Sustainable f</w:t>
      </w:r>
      <w:r w:rsidR="00605CD3" w:rsidRPr="0034075A">
        <w:rPr>
          <w:rFonts w:ascii="Century Gothic" w:hAnsi="Century Gothic"/>
          <w:lang w:val="en-US"/>
        </w:rPr>
        <w:t xml:space="preserve">ood system policies at a local, territorial, or subnational level have an opportunity to address right to food and nutrition, create spaces for marginalized groups to participate in policy, and the design of normative policies that speak to the place-based reality of communities. Food systems in territories of all sizes include both formal and informal markets, layers of intermediary marketers, distributors and processors, as well as many small-scale producers, local processing, and agricultural and food system workers. These rural and urban food systems are still poorly understood by local or regional governments that often lack the mandate, jurisdiction or technical capacity to manage them. However, in order to address economic or environmental food system shocks and the systemic lack of access to fresh, healthy foods, a number of local governments have had to rethink how their food systems are managed—and more importantly, by whom. </w:t>
      </w:r>
      <w:r w:rsidR="009B1606">
        <w:rPr>
          <w:rFonts w:ascii="Century Gothic" w:hAnsi="Century Gothic"/>
          <w:lang w:val="en-US"/>
        </w:rPr>
        <w:t>In turn, regional governments have sought to respond to t</w:t>
      </w:r>
      <w:r w:rsidR="00302C3F">
        <w:rPr>
          <w:rFonts w:ascii="Century Gothic" w:hAnsi="Century Gothic"/>
          <w:lang w:val="en-US"/>
        </w:rPr>
        <w:t xml:space="preserve">he increased need for </w:t>
      </w:r>
      <w:r w:rsidR="00302C3F" w:rsidRPr="007D0A72">
        <w:rPr>
          <w:rFonts w:ascii="Century Gothic" w:hAnsi="Century Gothic"/>
          <w:lang w:val="en-US"/>
        </w:rPr>
        <w:t>integrated territorial approach</w:t>
      </w:r>
      <w:r w:rsidR="00302C3F">
        <w:rPr>
          <w:rFonts w:ascii="Century Gothic" w:hAnsi="Century Gothic"/>
          <w:lang w:val="en-US"/>
        </w:rPr>
        <w:t>es that</w:t>
      </w:r>
      <w:r w:rsidR="00302C3F" w:rsidRPr="007D0A72">
        <w:rPr>
          <w:rFonts w:ascii="Century Gothic" w:hAnsi="Century Gothic"/>
          <w:lang w:val="en-US"/>
        </w:rPr>
        <w:t xml:space="preserve"> simultaneously </w:t>
      </w:r>
      <w:r w:rsidR="00302C3F">
        <w:rPr>
          <w:rFonts w:ascii="Century Gothic" w:hAnsi="Century Gothic"/>
          <w:lang w:val="en-US"/>
        </w:rPr>
        <w:t>address the continuum of</w:t>
      </w:r>
      <w:r w:rsidR="00302C3F" w:rsidRPr="007D0A72">
        <w:rPr>
          <w:rFonts w:ascii="Century Gothic" w:hAnsi="Century Gothic"/>
          <w:lang w:val="en-US"/>
        </w:rPr>
        <w:t xml:space="preserve"> urban, rural</w:t>
      </w:r>
      <w:r w:rsidR="00302C3F">
        <w:rPr>
          <w:rFonts w:ascii="Century Gothic" w:hAnsi="Century Gothic"/>
          <w:lang w:val="en-US"/>
        </w:rPr>
        <w:t>,</w:t>
      </w:r>
      <w:r w:rsidR="00302C3F" w:rsidRPr="007D0A72">
        <w:rPr>
          <w:rFonts w:ascii="Century Gothic" w:hAnsi="Century Gothic"/>
          <w:lang w:val="en-US"/>
        </w:rPr>
        <w:t xml:space="preserve"> and natural areas</w:t>
      </w:r>
      <w:r w:rsidR="00302C3F">
        <w:rPr>
          <w:rFonts w:ascii="Century Gothic" w:hAnsi="Century Gothic"/>
          <w:lang w:val="en-US"/>
        </w:rPr>
        <w:t xml:space="preserve">. </w:t>
      </w:r>
      <w:r w:rsidR="00605CD3" w:rsidRPr="0034075A">
        <w:rPr>
          <w:rFonts w:ascii="Century Gothic" w:hAnsi="Century Gothic"/>
          <w:lang w:val="en-US"/>
        </w:rPr>
        <w:t xml:space="preserve">Across the globe, more and more local </w:t>
      </w:r>
      <w:r w:rsidR="007D0A72">
        <w:rPr>
          <w:rFonts w:ascii="Century Gothic" w:hAnsi="Century Gothic"/>
          <w:lang w:val="en-US"/>
        </w:rPr>
        <w:t xml:space="preserve">and regional </w:t>
      </w:r>
      <w:r w:rsidR="00605CD3" w:rsidRPr="0034075A">
        <w:rPr>
          <w:rFonts w:ascii="Century Gothic" w:hAnsi="Century Gothic"/>
          <w:lang w:val="en-US"/>
        </w:rPr>
        <w:t>governments are paying attention to issues of food and nutrition as a result of increasing public health and nutrition pressures, and in response to the demands of social movemen</w:t>
      </w:r>
      <w:r w:rsidR="00D87C96">
        <w:rPr>
          <w:rFonts w:ascii="Century Gothic" w:hAnsi="Century Gothic"/>
          <w:lang w:val="en-US"/>
        </w:rPr>
        <w:t>ts</w:t>
      </w:r>
      <w:r w:rsidR="00605CD3" w:rsidRPr="0034075A">
        <w:rPr>
          <w:rFonts w:ascii="Century Gothic" w:hAnsi="Century Gothic"/>
          <w:lang w:val="en-US"/>
        </w:rPr>
        <w:t xml:space="preserve">. </w:t>
      </w:r>
    </w:p>
    <w:p w14:paraId="4B4CBF6E" w14:textId="77777777" w:rsidR="00237BA3" w:rsidRPr="0034075A" w:rsidRDefault="00237BA3" w:rsidP="008F7942">
      <w:pPr>
        <w:spacing w:line="276" w:lineRule="auto"/>
        <w:jc w:val="both"/>
        <w:rPr>
          <w:rFonts w:ascii="Century Gothic" w:hAnsi="Century Gothic" w:cs="Times New Roman"/>
          <w:bCs/>
          <w:color w:val="000000"/>
          <w:lang w:val="en-US" w:eastAsia="fr-FR"/>
        </w:rPr>
      </w:pPr>
    </w:p>
    <w:p w14:paraId="5A58BC53" w14:textId="3436CBF9" w:rsidR="00237BA3" w:rsidRPr="0034075A" w:rsidRDefault="00237BA3" w:rsidP="008F7942">
      <w:pPr>
        <w:spacing w:line="276" w:lineRule="auto"/>
        <w:jc w:val="both"/>
        <w:rPr>
          <w:rFonts w:ascii="Century Gothic" w:hAnsi="Century Gothic" w:cs="Times New Roman"/>
          <w:bCs/>
          <w:color w:val="000000"/>
          <w:lang w:val="en-US" w:eastAsia="fr-FR"/>
        </w:rPr>
      </w:pPr>
      <w:r w:rsidRPr="0034075A">
        <w:rPr>
          <w:rFonts w:ascii="Century Gothic" w:hAnsi="Century Gothic" w:cs="Times New Roman"/>
          <w:bCs/>
          <w:color w:val="000000"/>
          <w:lang w:val="en-US" w:eastAsia="fr-FR"/>
        </w:rPr>
        <w:t>In order to foster participation and mutual learning,</w:t>
      </w:r>
      <w:r w:rsidR="004C60AC" w:rsidRPr="0034075A">
        <w:rPr>
          <w:rFonts w:ascii="Century Gothic" w:hAnsi="Century Gothic" w:cs="Times New Roman"/>
          <w:bCs/>
          <w:color w:val="000000"/>
          <w:lang w:val="en-US" w:eastAsia="fr-FR"/>
        </w:rPr>
        <w:t xml:space="preserve"> this event will provide a learning environment from those organizations, movements, and subnational governments with experiences in creating local and territorial food and nutrition policies. W</w:t>
      </w:r>
      <w:r w:rsidRPr="0034075A">
        <w:rPr>
          <w:rFonts w:ascii="Century Gothic" w:hAnsi="Century Gothic" w:cs="Times New Roman"/>
          <w:bCs/>
          <w:color w:val="000000"/>
          <w:lang w:val="en-US" w:eastAsia="fr-FR"/>
        </w:rPr>
        <w:t>e will develop a participatory meeting methodology that combines interventions by expert speakers and small group discussions.</w:t>
      </w:r>
    </w:p>
    <w:p w14:paraId="193D9312" w14:textId="77777777" w:rsidR="00237BA3" w:rsidRPr="0034075A" w:rsidRDefault="00237BA3" w:rsidP="008F7942">
      <w:pPr>
        <w:spacing w:line="276" w:lineRule="auto"/>
        <w:jc w:val="both"/>
        <w:rPr>
          <w:rFonts w:ascii="Century Gothic" w:hAnsi="Century Gothic" w:cs="Times New Roman"/>
          <w:bCs/>
          <w:color w:val="000000"/>
          <w:lang w:val="en-US" w:eastAsia="fr-FR"/>
        </w:rPr>
      </w:pPr>
    </w:p>
    <w:p w14:paraId="717CBFA0" w14:textId="353BE148" w:rsidR="004C60AC" w:rsidRPr="0034075A" w:rsidRDefault="00237BA3" w:rsidP="008F7942">
      <w:pPr>
        <w:spacing w:line="276" w:lineRule="auto"/>
        <w:jc w:val="both"/>
        <w:rPr>
          <w:rFonts w:ascii="Century Gothic" w:hAnsi="Century Gothic" w:cs="Times New Roman"/>
          <w:bCs/>
          <w:color w:val="000000"/>
          <w:lang w:val="en-US" w:eastAsia="fr-FR"/>
        </w:rPr>
      </w:pPr>
      <w:r w:rsidRPr="0034075A">
        <w:rPr>
          <w:rFonts w:ascii="Century Gothic" w:hAnsi="Century Gothic" w:cs="Times New Roman"/>
          <w:bCs/>
          <w:color w:val="000000"/>
          <w:lang w:val="en-US" w:eastAsia="fr-FR"/>
        </w:rPr>
        <w:t>Our goal will be to develop a list of recommendations on how UN Member States, as well as Regional and Local governments</w:t>
      </w:r>
      <w:r w:rsidR="000653A7">
        <w:rPr>
          <w:rFonts w:ascii="Century Gothic" w:hAnsi="Century Gothic" w:cs="Times New Roman"/>
          <w:bCs/>
          <w:color w:val="000000"/>
          <w:lang w:val="en-US" w:eastAsia="fr-FR"/>
        </w:rPr>
        <w:t xml:space="preserve"> </w:t>
      </w:r>
      <w:r w:rsidR="00F50F0A" w:rsidRPr="0034075A">
        <w:rPr>
          <w:rFonts w:ascii="Century Gothic" w:hAnsi="Century Gothic" w:cs="Times New Roman"/>
          <w:bCs/>
          <w:color w:val="000000"/>
          <w:lang w:val="en-US" w:eastAsia="fr-FR"/>
        </w:rPr>
        <w:t>can</w:t>
      </w:r>
      <w:r w:rsidR="00911966" w:rsidRPr="0034075A">
        <w:rPr>
          <w:rFonts w:ascii="Century Gothic" w:hAnsi="Century Gothic" w:cs="Times New Roman"/>
          <w:bCs/>
          <w:color w:val="000000"/>
          <w:lang w:val="en-US" w:eastAsia="fr-FR"/>
        </w:rPr>
        <w:t xml:space="preserve"> achieve rural-urban linkages in our cities, villages and urban settlements</w:t>
      </w:r>
      <w:r w:rsidR="004C60AC" w:rsidRPr="0034075A">
        <w:rPr>
          <w:rFonts w:ascii="Century Gothic" w:hAnsi="Century Gothic" w:cs="Times New Roman"/>
          <w:bCs/>
          <w:color w:val="000000"/>
          <w:lang w:val="en-US" w:eastAsia="fr-FR"/>
        </w:rPr>
        <w:t xml:space="preserve"> to meet commitments of the Right to Food and Nutrition and the Right to the City</w:t>
      </w:r>
      <w:r w:rsidR="00911966" w:rsidRPr="0034075A">
        <w:rPr>
          <w:rFonts w:ascii="Century Gothic" w:hAnsi="Century Gothic" w:cs="Times New Roman"/>
          <w:bCs/>
          <w:color w:val="000000"/>
          <w:lang w:val="en-US" w:eastAsia="fr-FR"/>
        </w:rPr>
        <w:t>.</w:t>
      </w:r>
    </w:p>
    <w:sectPr w:rsidR="004C60AC" w:rsidRPr="0034075A" w:rsidSect="00A050F7">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A8F49" w14:textId="77777777" w:rsidR="00F33C75" w:rsidRDefault="00F33C75" w:rsidP="00F5519A">
      <w:r>
        <w:separator/>
      </w:r>
    </w:p>
  </w:endnote>
  <w:endnote w:type="continuationSeparator" w:id="0">
    <w:p w14:paraId="74FEE5E3" w14:textId="77777777" w:rsidR="00F33C75" w:rsidRDefault="00F33C75" w:rsidP="00F5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70271" w14:textId="77777777" w:rsidR="00F33C75" w:rsidRDefault="00F33C75" w:rsidP="00F5519A">
      <w:r>
        <w:separator/>
      </w:r>
    </w:p>
  </w:footnote>
  <w:footnote w:type="continuationSeparator" w:id="0">
    <w:p w14:paraId="7F93706F" w14:textId="77777777" w:rsidR="00F33C75" w:rsidRDefault="00F33C75" w:rsidP="00F55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85BB6" w14:textId="77777777" w:rsidR="00592683" w:rsidRDefault="00592683" w:rsidP="00795BE7">
    <w:pPr>
      <w:ind w:left="-567" w:right="-290"/>
    </w:pPr>
    <w:r>
      <w:rPr>
        <w:noProof/>
        <w:lang w:val="es-ES" w:eastAsia="es-ES"/>
      </w:rPr>
      <w:drawing>
        <wp:inline distT="0" distB="0" distL="0" distR="0" wp14:anchorId="199AB958" wp14:editId="5FC52B8D">
          <wp:extent cx="2181225" cy="6144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PR2R-2018-300dpi-grande-20cm (1).png"/>
                  <pic:cNvPicPr/>
                </pic:nvPicPr>
                <pic:blipFill>
                  <a:blip r:embed="rId1">
                    <a:extLst>
                      <a:ext uri="{28A0092B-C50C-407E-A947-70E740481C1C}">
                        <a14:useLocalDpi xmlns:a14="http://schemas.microsoft.com/office/drawing/2010/main" val="0"/>
                      </a:ext>
                    </a:extLst>
                  </a:blip>
                  <a:srcRect b="-22879"/>
                  <a:stretch>
                    <a:fillRect/>
                  </a:stretch>
                </pic:blipFill>
                <pic:spPr>
                  <a:xfrm>
                    <a:off x="0" y="0"/>
                    <a:ext cx="2181225" cy="614471"/>
                  </a:xfrm>
                  <a:prstGeom prst="rect">
                    <a:avLst/>
                  </a:prstGeom>
                </pic:spPr>
              </pic:pic>
            </a:graphicData>
          </a:graphic>
        </wp:inline>
      </w:drawing>
    </w:r>
    <w:r w:rsidR="00795BE7">
      <w:t xml:space="preserve"> </w:t>
    </w:r>
    <w:r>
      <w:rPr>
        <w:noProof/>
        <w:lang w:val="es-ES" w:eastAsia="es-ES"/>
      </w:rPr>
      <w:drawing>
        <wp:inline distT="0" distB="0" distL="0" distR="0" wp14:anchorId="2A249E1C" wp14:editId="59D26280">
          <wp:extent cx="738835" cy="738835"/>
          <wp:effectExtent l="19050" t="0" r="4115" b="0"/>
          <wp:docPr id="3" name="2 Imagen" descr="FIA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AN_logo.jpg"/>
                  <pic:cNvPicPr/>
                </pic:nvPicPr>
                <pic:blipFill>
                  <a:blip r:embed="rId2"/>
                  <a:stretch>
                    <a:fillRect/>
                  </a:stretch>
                </pic:blipFill>
                <pic:spPr>
                  <a:xfrm>
                    <a:off x="0" y="0"/>
                    <a:ext cx="739456" cy="739456"/>
                  </a:xfrm>
                  <a:prstGeom prst="rect">
                    <a:avLst/>
                  </a:prstGeom>
                </pic:spPr>
              </pic:pic>
            </a:graphicData>
          </a:graphic>
        </wp:inline>
      </w:drawing>
    </w:r>
    <w:r w:rsidR="00795BE7">
      <w:t xml:space="preserve"> </w:t>
    </w:r>
    <w:r>
      <w:rPr>
        <w:noProof/>
        <w:lang w:val="es-ES" w:eastAsia="es-ES"/>
      </w:rPr>
      <w:drawing>
        <wp:inline distT="0" distB="0" distL="0" distR="0" wp14:anchorId="7719A987" wp14:editId="2E89A8DD">
          <wp:extent cx="588111" cy="754558"/>
          <wp:effectExtent l="19050" t="0" r="2439" b="0"/>
          <wp:docPr id="4" name="3 Imagen" descr="logo_ripes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pess2.jpg"/>
                  <pic:cNvPicPr/>
                </pic:nvPicPr>
                <pic:blipFill>
                  <a:blip r:embed="rId3"/>
                  <a:stretch>
                    <a:fillRect/>
                  </a:stretch>
                </pic:blipFill>
                <pic:spPr>
                  <a:xfrm>
                    <a:off x="0" y="0"/>
                    <a:ext cx="588388" cy="754913"/>
                  </a:xfrm>
                  <a:prstGeom prst="rect">
                    <a:avLst/>
                  </a:prstGeom>
                </pic:spPr>
              </pic:pic>
            </a:graphicData>
          </a:graphic>
        </wp:inline>
      </w:drawing>
    </w:r>
    <w:r w:rsidR="00795BE7">
      <w:t xml:space="preserve">  </w:t>
    </w:r>
    <w:r>
      <w:rPr>
        <w:noProof/>
        <w:lang w:val="es-ES" w:eastAsia="es-ES"/>
      </w:rPr>
      <w:drawing>
        <wp:inline distT="0" distB="0" distL="0" distR="0" wp14:anchorId="721FF3D5" wp14:editId="4EDA3281">
          <wp:extent cx="1392784" cy="599846"/>
          <wp:effectExtent l="19050" t="0" r="0" b="0"/>
          <wp:docPr id="5" name="4 Imagen" descr="logo-urgen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rgenci.png"/>
                  <pic:cNvPicPr/>
                </pic:nvPicPr>
                <pic:blipFill>
                  <a:blip r:embed="rId4"/>
                  <a:srcRect b="-49091"/>
                  <a:stretch>
                    <a:fillRect/>
                  </a:stretch>
                </pic:blipFill>
                <pic:spPr>
                  <a:xfrm>
                    <a:off x="0" y="0"/>
                    <a:ext cx="1392784" cy="599846"/>
                  </a:xfrm>
                  <a:prstGeom prst="rect">
                    <a:avLst/>
                  </a:prstGeom>
                </pic:spPr>
              </pic:pic>
            </a:graphicData>
          </a:graphic>
        </wp:inline>
      </w:drawing>
    </w:r>
    <w:r w:rsidR="00795BE7">
      <w:t xml:space="preserve"> </w:t>
    </w:r>
    <w:r w:rsidR="00795BE7">
      <w:rPr>
        <w:noProof/>
        <w:lang w:val="es-ES" w:eastAsia="es-ES"/>
      </w:rPr>
      <w:drawing>
        <wp:inline distT="0" distB="0" distL="0" distR="0" wp14:anchorId="23D07015" wp14:editId="0E689AB7">
          <wp:extent cx="1028700" cy="557212"/>
          <wp:effectExtent l="19050" t="0" r="0" b="0"/>
          <wp:docPr id="2" name="1 Imagen" descr="GNftRtFaN_Signet-EN_RGB_500px_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ftRtFaN_Signet-EN_RGB_500px_rz.png"/>
                  <pic:cNvPicPr/>
                </pic:nvPicPr>
                <pic:blipFill>
                  <a:blip r:embed="rId5"/>
                  <a:srcRect b="-46250"/>
                  <a:stretch>
                    <a:fillRect/>
                  </a:stretch>
                </pic:blipFill>
                <pic:spPr>
                  <a:xfrm>
                    <a:off x="0" y="0"/>
                    <a:ext cx="1028700" cy="557212"/>
                  </a:xfrm>
                  <a:prstGeom prst="rect">
                    <a:avLst/>
                  </a:prstGeom>
                </pic:spPr>
              </pic:pic>
            </a:graphicData>
          </a:graphic>
        </wp:inline>
      </w:drawing>
    </w:r>
  </w:p>
  <w:p w14:paraId="5F032729" w14:textId="77777777" w:rsidR="00592683" w:rsidRDefault="00592683" w:rsidP="002C7BFE">
    <w:pPr>
      <w:pStyle w:val="Header"/>
    </w:pPr>
  </w:p>
  <w:p w14:paraId="17024C21" w14:textId="77777777" w:rsidR="00592683" w:rsidRDefault="00592683" w:rsidP="002C7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5062E"/>
    <w:multiLevelType w:val="hybridMultilevel"/>
    <w:tmpl w:val="6A5235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1133E8"/>
    <w:multiLevelType w:val="multilevel"/>
    <w:tmpl w:val="FFBA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6461DB"/>
    <w:multiLevelType w:val="multilevel"/>
    <w:tmpl w:val="D46A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A3"/>
    <w:rsid w:val="0003022C"/>
    <w:rsid w:val="000327C1"/>
    <w:rsid w:val="000653A7"/>
    <w:rsid w:val="000A097A"/>
    <w:rsid w:val="000E352D"/>
    <w:rsid w:val="00102A73"/>
    <w:rsid w:val="00105D07"/>
    <w:rsid w:val="001A123D"/>
    <w:rsid w:val="001A7B61"/>
    <w:rsid w:val="001D3229"/>
    <w:rsid w:val="001D5B8F"/>
    <w:rsid w:val="0023336A"/>
    <w:rsid w:val="00237BA3"/>
    <w:rsid w:val="002460C1"/>
    <w:rsid w:val="0026332E"/>
    <w:rsid w:val="00287F1B"/>
    <w:rsid w:val="002C7BFE"/>
    <w:rsid w:val="002D72EE"/>
    <w:rsid w:val="002E0050"/>
    <w:rsid w:val="00302C3F"/>
    <w:rsid w:val="0034020B"/>
    <w:rsid w:val="0034075A"/>
    <w:rsid w:val="00411F9E"/>
    <w:rsid w:val="004136C3"/>
    <w:rsid w:val="00421150"/>
    <w:rsid w:val="004B3AE2"/>
    <w:rsid w:val="004B7FD9"/>
    <w:rsid w:val="004C55E5"/>
    <w:rsid w:val="004C60AC"/>
    <w:rsid w:val="004C7F92"/>
    <w:rsid w:val="004D75BD"/>
    <w:rsid w:val="004F315C"/>
    <w:rsid w:val="00537D95"/>
    <w:rsid w:val="00543B53"/>
    <w:rsid w:val="00574A4B"/>
    <w:rsid w:val="00592683"/>
    <w:rsid w:val="005A7D74"/>
    <w:rsid w:val="005E3176"/>
    <w:rsid w:val="00605CD3"/>
    <w:rsid w:val="00644F25"/>
    <w:rsid w:val="00663B0C"/>
    <w:rsid w:val="00692205"/>
    <w:rsid w:val="0069764D"/>
    <w:rsid w:val="006A5DE5"/>
    <w:rsid w:val="00736F43"/>
    <w:rsid w:val="0078495B"/>
    <w:rsid w:val="00784FE5"/>
    <w:rsid w:val="00795BE7"/>
    <w:rsid w:val="007D0A72"/>
    <w:rsid w:val="007E673C"/>
    <w:rsid w:val="00816CE7"/>
    <w:rsid w:val="00861671"/>
    <w:rsid w:val="008802AC"/>
    <w:rsid w:val="008B74AC"/>
    <w:rsid w:val="008C719A"/>
    <w:rsid w:val="008F7942"/>
    <w:rsid w:val="00911966"/>
    <w:rsid w:val="00982EC7"/>
    <w:rsid w:val="009B1606"/>
    <w:rsid w:val="009E4EDF"/>
    <w:rsid w:val="00A050F7"/>
    <w:rsid w:val="00A17647"/>
    <w:rsid w:val="00A81D58"/>
    <w:rsid w:val="00AB3A45"/>
    <w:rsid w:val="00AD3107"/>
    <w:rsid w:val="00B47B75"/>
    <w:rsid w:val="00BE5D87"/>
    <w:rsid w:val="00BF1695"/>
    <w:rsid w:val="00C241FD"/>
    <w:rsid w:val="00CB5EA4"/>
    <w:rsid w:val="00D07FD4"/>
    <w:rsid w:val="00D514FD"/>
    <w:rsid w:val="00D87C96"/>
    <w:rsid w:val="00DC3ED1"/>
    <w:rsid w:val="00E46DEE"/>
    <w:rsid w:val="00E54899"/>
    <w:rsid w:val="00E708E2"/>
    <w:rsid w:val="00EE46A3"/>
    <w:rsid w:val="00F33C75"/>
    <w:rsid w:val="00F447C4"/>
    <w:rsid w:val="00F46666"/>
    <w:rsid w:val="00F50F0A"/>
    <w:rsid w:val="00F5519A"/>
    <w:rsid w:val="00F561EC"/>
    <w:rsid w:val="00FF478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E95661"/>
  <w15:docId w15:val="{6F005C04-FF7F-47E9-A583-0D922AAB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2EC7"/>
    <w:pPr>
      <w:spacing w:before="100" w:beforeAutospacing="1" w:after="100" w:afterAutospacing="1"/>
    </w:pPr>
    <w:rPr>
      <w:rFonts w:ascii="Times New Roman" w:hAnsi="Times New Roman" w:cs="Times New Roman"/>
      <w:lang w:eastAsia="fr-FR"/>
    </w:rPr>
  </w:style>
  <w:style w:type="character" w:styleId="Hyperlink">
    <w:name w:val="Hyperlink"/>
    <w:basedOn w:val="DefaultParagraphFont"/>
    <w:uiPriority w:val="99"/>
    <w:unhideWhenUsed/>
    <w:rsid w:val="00982EC7"/>
    <w:rPr>
      <w:color w:val="0000FF"/>
      <w:u w:val="single"/>
    </w:rPr>
  </w:style>
  <w:style w:type="paragraph" w:styleId="BalloonText">
    <w:name w:val="Balloon Text"/>
    <w:basedOn w:val="Normal"/>
    <w:link w:val="BalloonTextChar"/>
    <w:uiPriority w:val="99"/>
    <w:semiHidden/>
    <w:unhideWhenUsed/>
    <w:rsid w:val="005A7D7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7D74"/>
    <w:rPr>
      <w:rFonts w:ascii="Times New Roman" w:hAnsi="Times New Roman" w:cs="Times New Roman"/>
      <w:sz w:val="18"/>
      <w:szCs w:val="18"/>
    </w:rPr>
  </w:style>
  <w:style w:type="paragraph" w:styleId="Header">
    <w:name w:val="header"/>
    <w:basedOn w:val="Normal"/>
    <w:link w:val="HeaderChar"/>
    <w:uiPriority w:val="99"/>
    <w:unhideWhenUsed/>
    <w:rsid w:val="00F5519A"/>
    <w:pPr>
      <w:tabs>
        <w:tab w:val="center" w:pos="4252"/>
        <w:tab w:val="right" w:pos="8504"/>
      </w:tabs>
    </w:pPr>
  </w:style>
  <w:style w:type="character" w:customStyle="1" w:styleId="HeaderChar">
    <w:name w:val="Header Char"/>
    <w:basedOn w:val="DefaultParagraphFont"/>
    <w:link w:val="Header"/>
    <w:uiPriority w:val="99"/>
    <w:rsid w:val="00F5519A"/>
  </w:style>
  <w:style w:type="paragraph" w:styleId="Footer">
    <w:name w:val="footer"/>
    <w:basedOn w:val="Normal"/>
    <w:link w:val="FooterChar"/>
    <w:uiPriority w:val="99"/>
    <w:unhideWhenUsed/>
    <w:rsid w:val="00F5519A"/>
    <w:pPr>
      <w:tabs>
        <w:tab w:val="center" w:pos="4252"/>
        <w:tab w:val="right" w:pos="8504"/>
      </w:tabs>
    </w:pPr>
  </w:style>
  <w:style w:type="character" w:customStyle="1" w:styleId="FooterChar">
    <w:name w:val="Footer Char"/>
    <w:basedOn w:val="DefaultParagraphFont"/>
    <w:link w:val="Footer"/>
    <w:uiPriority w:val="99"/>
    <w:rsid w:val="00F5519A"/>
  </w:style>
  <w:style w:type="character" w:styleId="CommentReference">
    <w:name w:val="annotation reference"/>
    <w:basedOn w:val="DefaultParagraphFont"/>
    <w:uiPriority w:val="99"/>
    <w:semiHidden/>
    <w:unhideWhenUsed/>
    <w:rsid w:val="006A5DE5"/>
    <w:rPr>
      <w:sz w:val="16"/>
      <w:szCs w:val="16"/>
    </w:rPr>
  </w:style>
  <w:style w:type="paragraph" w:styleId="CommentText">
    <w:name w:val="annotation text"/>
    <w:basedOn w:val="Normal"/>
    <w:link w:val="CommentTextChar"/>
    <w:uiPriority w:val="99"/>
    <w:semiHidden/>
    <w:unhideWhenUsed/>
    <w:rsid w:val="006A5DE5"/>
    <w:rPr>
      <w:sz w:val="20"/>
      <w:szCs w:val="20"/>
    </w:rPr>
  </w:style>
  <w:style w:type="character" w:customStyle="1" w:styleId="CommentTextChar">
    <w:name w:val="Comment Text Char"/>
    <w:basedOn w:val="DefaultParagraphFont"/>
    <w:link w:val="CommentText"/>
    <w:uiPriority w:val="99"/>
    <w:semiHidden/>
    <w:rsid w:val="006A5DE5"/>
    <w:rPr>
      <w:sz w:val="20"/>
      <w:szCs w:val="20"/>
    </w:rPr>
  </w:style>
  <w:style w:type="paragraph" w:styleId="CommentSubject">
    <w:name w:val="annotation subject"/>
    <w:basedOn w:val="CommentText"/>
    <w:next w:val="CommentText"/>
    <w:link w:val="CommentSubjectChar"/>
    <w:uiPriority w:val="99"/>
    <w:semiHidden/>
    <w:unhideWhenUsed/>
    <w:rsid w:val="006A5DE5"/>
    <w:rPr>
      <w:b/>
      <w:bCs/>
    </w:rPr>
  </w:style>
  <w:style w:type="character" w:customStyle="1" w:styleId="CommentSubjectChar">
    <w:name w:val="Comment Subject Char"/>
    <w:basedOn w:val="CommentTextChar"/>
    <w:link w:val="CommentSubject"/>
    <w:uiPriority w:val="99"/>
    <w:semiHidden/>
    <w:rsid w:val="006A5DE5"/>
    <w:rPr>
      <w:b/>
      <w:bCs/>
      <w:sz w:val="20"/>
      <w:szCs w:val="20"/>
    </w:rPr>
  </w:style>
  <w:style w:type="paragraph" w:styleId="ListParagraph">
    <w:name w:val="List Paragraph"/>
    <w:basedOn w:val="Normal"/>
    <w:uiPriority w:val="34"/>
    <w:qFormat/>
    <w:rsid w:val="004C6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50397">
      <w:bodyDiv w:val="1"/>
      <w:marLeft w:val="0"/>
      <w:marRight w:val="0"/>
      <w:marTop w:val="0"/>
      <w:marBottom w:val="0"/>
      <w:divBdr>
        <w:top w:val="none" w:sz="0" w:space="0" w:color="auto"/>
        <w:left w:val="none" w:sz="0" w:space="0" w:color="auto"/>
        <w:bottom w:val="none" w:sz="0" w:space="0" w:color="auto"/>
        <w:right w:val="none" w:sz="0" w:space="0" w:color="auto"/>
      </w:divBdr>
    </w:div>
    <w:div w:id="1463885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httothecityplatform.org.br/wp-content/uploads/right-to-the-city-agenda_GPR2C-201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4AF72-7FED-7246-9A05-42C1F979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903</Words>
  <Characters>5150</Characters>
  <Application>Microsoft Office Word</Application>
  <DocSecurity>0</DocSecurity>
  <Lines>42</Lines>
  <Paragraphs>12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Eduard Cabre Romans</cp:lastModifiedBy>
  <cp:revision>6</cp:revision>
  <dcterms:created xsi:type="dcterms:W3CDTF">2019-06-11T17:37:00Z</dcterms:created>
  <dcterms:modified xsi:type="dcterms:W3CDTF">2019-06-11T17:39:00Z</dcterms:modified>
</cp:coreProperties>
</file>