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21" w:rsidRDefault="000D682E">
      <w:pPr>
        <w:pStyle w:val="Standard"/>
        <w:spacing w:after="0" w:line="100" w:lineRule="atLeast"/>
        <w:jc w:val="center"/>
      </w:pPr>
      <w:bookmarkStart w:id="0" w:name="_GoBack"/>
      <w:bookmarkEnd w:id="0"/>
      <w:r>
        <w:rPr>
          <w:rFonts w:ascii="Times New Roman" w:hAnsi="Times New Roman"/>
          <w:b/>
          <w:lang w:val="en-GB"/>
        </w:rPr>
        <w:t>THE SOCIAL FUNCTION</w:t>
      </w:r>
      <w:r w:rsidR="0075492A">
        <w:rPr>
          <w:rFonts w:ascii="Times New Roman" w:hAnsi="Times New Roman"/>
          <w:b/>
          <w:lang w:val="en-GB"/>
        </w:rPr>
        <w:t xml:space="preserve"> OF PROPERTY IN LATIN AMERICA</w:t>
      </w:r>
    </w:p>
    <w:p w:rsidR="002C2721" w:rsidRDefault="0075492A">
      <w:pPr>
        <w:pStyle w:val="Standard"/>
        <w:spacing w:after="0" w:line="100" w:lineRule="atLeast"/>
        <w:jc w:val="center"/>
        <w:rPr>
          <w:rFonts w:ascii="Times New Roman" w:hAnsi="Times New Roman"/>
          <w:lang w:val="en-GB"/>
        </w:rPr>
      </w:pPr>
      <w:r>
        <w:rPr>
          <w:rFonts w:ascii="Times New Roman" w:hAnsi="Times New Roman"/>
          <w:lang w:val="en-GB"/>
        </w:rPr>
        <w:t>Leticia Marques Osorio</w:t>
      </w:r>
    </w:p>
    <w:p w:rsidR="002C18C9" w:rsidRPr="000D682E" w:rsidRDefault="002C18C9">
      <w:pPr>
        <w:pStyle w:val="Standard"/>
        <w:spacing w:after="0" w:line="100" w:lineRule="atLeast"/>
        <w:jc w:val="center"/>
        <w:rPr>
          <w:rFonts w:ascii="Times New Roman" w:hAnsi="Times New Roman" w:cs="Times New Roman"/>
          <w:color w:val="auto"/>
          <w:sz w:val="20"/>
          <w:szCs w:val="20"/>
          <w:lang w:val="en-GB"/>
        </w:rPr>
      </w:pPr>
      <w:r w:rsidRPr="000D682E">
        <w:rPr>
          <w:rFonts w:ascii="Times New Roman" w:hAnsi="Times New Roman" w:cs="Times New Roman"/>
          <w:color w:val="auto"/>
          <w:sz w:val="20"/>
          <w:szCs w:val="20"/>
          <w:lang w:val="en-GB"/>
        </w:rPr>
        <w:t xml:space="preserve">Brazilian </w:t>
      </w:r>
      <w:r w:rsidR="00F25E2F" w:rsidRPr="000D682E">
        <w:rPr>
          <w:rFonts w:ascii="Times New Roman" w:hAnsi="Times New Roman" w:cs="Times New Roman"/>
          <w:color w:val="auto"/>
          <w:sz w:val="20"/>
          <w:szCs w:val="20"/>
          <w:lang w:val="en-GB"/>
        </w:rPr>
        <w:t xml:space="preserve">human rights </w:t>
      </w:r>
      <w:r w:rsidRPr="000D682E">
        <w:rPr>
          <w:rFonts w:ascii="Times New Roman" w:hAnsi="Times New Roman" w:cs="Times New Roman"/>
          <w:color w:val="auto"/>
          <w:sz w:val="20"/>
          <w:szCs w:val="20"/>
          <w:lang w:val="en-GB"/>
        </w:rPr>
        <w:t xml:space="preserve">lawyer </w:t>
      </w:r>
      <w:r w:rsidR="00F25E2F" w:rsidRPr="000D682E">
        <w:rPr>
          <w:rFonts w:ascii="Times New Roman" w:hAnsi="Times New Roman" w:cs="Times New Roman"/>
          <w:color w:val="auto"/>
          <w:sz w:val="20"/>
          <w:szCs w:val="20"/>
          <w:lang w:val="en-GB"/>
        </w:rPr>
        <w:t>with</w:t>
      </w:r>
      <w:r w:rsidRPr="000D682E">
        <w:rPr>
          <w:rFonts w:ascii="Times New Roman" w:hAnsi="Times New Roman" w:cs="Times New Roman"/>
          <w:color w:val="auto"/>
          <w:sz w:val="20"/>
          <w:szCs w:val="20"/>
          <w:lang w:val="en-GB"/>
        </w:rPr>
        <w:t xml:space="preserve"> a master’s degree in urban planning from the Federal University of Rio Grande Do Sul (Brazil)</w:t>
      </w:r>
      <w:r w:rsidR="00F25E2F" w:rsidRPr="000D682E">
        <w:rPr>
          <w:rFonts w:ascii="Times New Roman" w:hAnsi="Times New Roman" w:cs="Times New Roman"/>
          <w:color w:val="auto"/>
          <w:sz w:val="20"/>
          <w:szCs w:val="20"/>
          <w:lang w:val="en-GB"/>
        </w:rPr>
        <w:t>,</w:t>
      </w:r>
      <w:r w:rsidRPr="000D682E">
        <w:rPr>
          <w:rFonts w:ascii="Times New Roman" w:hAnsi="Times New Roman" w:cs="Times New Roman"/>
          <w:color w:val="auto"/>
          <w:sz w:val="20"/>
          <w:szCs w:val="20"/>
          <w:lang w:val="en-GB"/>
        </w:rPr>
        <w:t xml:space="preserve"> Ph.D. in law from the University of Essex, U.K.</w:t>
      </w:r>
      <w:r w:rsidR="00F25E2F" w:rsidRPr="000D682E">
        <w:rPr>
          <w:rFonts w:ascii="Times New Roman" w:hAnsi="Times New Roman" w:cs="Times New Roman"/>
          <w:color w:val="auto"/>
          <w:sz w:val="20"/>
          <w:szCs w:val="20"/>
          <w:lang w:val="en-GB"/>
        </w:rPr>
        <w:t>, and human rights programme officer at the Ford Foundation</w:t>
      </w:r>
      <w:r w:rsidR="00D4545C" w:rsidRPr="000D682E">
        <w:rPr>
          <w:rFonts w:ascii="Times New Roman" w:hAnsi="Times New Roman" w:cs="Times New Roman"/>
          <w:color w:val="auto"/>
          <w:sz w:val="20"/>
          <w:szCs w:val="20"/>
          <w:lang w:val="en-GB"/>
        </w:rPr>
        <w:t>/</w:t>
      </w:r>
      <w:r w:rsidR="00F25E2F" w:rsidRPr="000D682E">
        <w:rPr>
          <w:rFonts w:ascii="Times New Roman" w:hAnsi="Times New Roman" w:cs="Times New Roman"/>
          <w:color w:val="auto"/>
          <w:sz w:val="20"/>
          <w:szCs w:val="20"/>
          <w:lang w:val="en-GB"/>
        </w:rPr>
        <w:t xml:space="preserve"> Brazil</w:t>
      </w:r>
    </w:p>
    <w:p w:rsidR="002C2721" w:rsidRPr="002C18C9" w:rsidRDefault="002C2721">
      <w:pPr>
        <w:pStyle w:val="Standard"/>
        <w:spacing w:after="0" w:line="100" w:lineRule="atLeast"/>
        <w:jc w:val="center"/>
        <w:rPr>
          <w:color w:val="FF0000"/>
          <w:lang w:val="en-GB"/>
        </w:rPr>
      </w:pPr>
    </w:p>
    <w:p w:rsidR="002C2721" w:rsidRDefault="002C2721">
      <w:pPr>
        <w:pStyle w:val="Standard"/>
        <w:spacing w:after="0" w:line="100" w:lineRule="atLeast"/>
      </w:pP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b/>
          <w:lang w:val="en-GB"/>
        </w:rPr>
        <w:t xml:space="preserve">Historical </w:t>
      </w:r>
      <w:r w:rsidR="004B7FEB" w:rsidRPr="00D14B75">
        <w:rPr>
          <w:rFonts w:ascii="Times New Roman" w:hAnsi="Times New Roman" w:cs="Times New Roman"/>
          <w:b/>
          <w:lang w:val="en-GB"/>
        </w:rPr>
        <w:t>Evolution</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Standard"/>
        <w:spacing w:after="0" w:line="100" w:lineRule="atLeast"/>
        <w:rPr>
          <w:rFonts w:ascii="Times New Roman" w:hAnsi="Times New Roman" w:cs="Times New Roman"/>
        </w:rPr>
      </w:pPr>
      <w:r w:rsidRPr="00D14B75">
        <w:rPr>
          <w:rFonts w:ascii="Times New Roman" w:eastAsia="Times New Roman" w:hAnsi="Times New Roman" w:cs="Times New Roman"/>
          <w:lang w:val="en-GB"/>
        </w:rPr>
        <w:t xml:space="preserve">History shows that the pursuit of property in Latin America by the colonists was framed by </w:t>
      </w:r>
      <w:r w:rsidR="006718A6" w:rsidRPr="00D14B75">
        <w:rPr>
          <w:rFonts w:ascii="Times New Roman" w:eastAsia="Times New Roman" w:hAnsi="Times New Roman" w:cs="Times New Roman"/>
          <w:lang w:val="en-GB"/>
        </w:rPr>
        <w:t xml:space="preserve">European </w:t>
      </w:r>
      <w:r w:rsidRPr="00D14B75">
        <w:rPr>
          <w:rFonts w:ascii="Times New Roman" w:eastAsia="Times New Roman" w:hAnsi="Times New Roman" w:cs="Times New Roman"/>
          <w:lang w:val="en-GB"/>
        </w:rPr>
        <w:t>legal and moral traditions</w:t>
      </w:r>
      <w:r w:rsidR="006718A6" w:rsidRPr="00D14B75">
        <w:rPr>
          <w:rFonts w:ascii="Times New Roman" w:eastAsia="Times New Roman" w:hAnsi="Times New Roman" w:cs="Times New Roman"/>
          <w:lang w:val="en-GB"/>
        </w:rPr>
        <w:t>.</w:t>
      </w:r>
      <w:r w:rsidRPr="00D14B75">
        <w:rPr>
          <w:rFonts w:ascii="Times New Roman" w:eastAsia="Times New Roman" w:hAnsi="Times New Roman" w:cs="Times New Roman"/>
          <w:lang w:val="en-GB"/>
        </w:rPr>
        <w:t xml:space="preserve"> These imported property systems were initially established to surmount the indigenous consuetudinary system of communal property and to accommodate the colonisers’ economic interests.</w:t>
      </w:r>
      <w:r w:rsidRPr="00D14B75">
        <w:rPr>
          <w:rStyle w:val="Appeldenote"/>
          <w:rFonts w:ascii="Times New Roman" w:hAnsi="Times New Roman" w:cs="Times New Roman"/>
        </w:rPr>
        <w:footnoteReference w:id="1"/>
      </w:r>
      <w:r w:rsidRPr="00D14B75">
        <w:rPr>
          <w:rFonts w:ascii="Times New Roman" w:eastAsia="Times New Roman" w:hAnsi="Times New Roman" w:cs="Times New Roman"/>
          <w:lang w:val="en-GB"/>
        </w:rPr>
        <w:t xml:space="preserve"> In the contemporary era, the scope and application of property rights has s</w:t>
      </w:r>
      <w:r w:rsidR="006718A6" w:rsidRPr="00D14B75">
        <w:rPr>
          <w:rFonts w:ascii="Times New Roman" w:eastAsia="Times New Roman" w:hAnsi="Times New Roman" w:cs="Times New Roman"/>
          <w:lang w:val="en-GB"/>
        </w:rPr>
        <w:t xml:space="preserve">een adjustment according to </w:t>
      </w:r>
      <w:r w:rsidRPr="00D14B75">
        <w:rPr>
          <w:rFonts w:ascii="Times New Roman" w:eastAsia="Times New Roman" w:hAnsi="Times New Roman" w:cs="Times New Roman"/>
          <w:lang w:val="en-GB"/>
        </w:rPr>
        <w:t>political and economic environment</w:t>
      </w:r>
      <w:r w:rsidR="006718A6" w:rsidRPr="00D14B75">
        <w:rPr>
          <w:rFonts w:ascii="Times New Roman" w:eastAsia="Times New Roman" w:hAnsi="Times New Roman" w:cs="Times New Roman"/>
          <w:lang w:val="en-GB"/>
        </w:rPr>
        <w:t>s</w:t>
      </w:r>
      <w:r w:rsidRPr="00D14B75">
        <w:rPr>
          <w:rFonts w:ascii="Times New Roman" w:eastAsia="Times New Roman" w:hAnsi="Times New Roman" w:cs="Times New Roman"/>
          <w:lang w:val="en-GB"/>
        </w:rPr>
        <w:t>, with public and social concerns also informing the review, enactment and application of property rights.</w:t>
      </w:r>
      <w:r w:rsidRPr="00D14B75">
        <w:rPr>
          <w:rStyle w:val="Appeldenote"/>
          <w:rFonts w:ascii="Times New Roman" w:hAnsi="Times New Roman" w:cs="Times New Roman"/>
        </w:rPr>
        <w:footnoteReference w:id="2"/>
      </w:r>
    </w:p>
    <w:p w:rsidR="002C2721" w:rsidRPr="00D14B75" w:rsidRDefault="002C2721">
      <w:pPr>
        <w:pStyle w:val="Standard"/>
        <w:spacing w:after="0" w:line="100" w:lineRule="atLeast"/>
        <w:rPr>
          <w:rFonts w:ascii="Times New Roman" w:hAnsi="Times New Roman" w:cs="Times New Roman"/>
        </w:rPr>
      </w:pPr>
    </w:p>
    <w:p w:rsidR="00F25E2F" w:rsidRPr="00D14B75" w:rsidRDefault="0075492A">
      <w:pPr>
        <w:pStyle w:val="Standard"/>
        <w:spacing w:after="0" w:line="100" w:lineRule="atLeast"/>
        <w:rPr>
          <w:rFonts w:ascii="Times New Roman" w:hAnsi="Times New Roman" w:cs="Times New Roman"/>
          <w:lang w:val="en-GB"/>
        </w:rPr>
      </w:pPr>
      <w:r w:rsidRPr="00D14B75">
        <w:rPr>
          <w:rFonts w:ascii="Times New Roman" w:eastAsia="Times New Roman" w:hAnsi="Times New Roman" w:cs="Times New Roman"/>
          <w:lang w:val="en-GB"/>
        </w:rPr>
        <w:t xml:space="preserve">Certain individuals and groups who hold large land areas are in a position to control the allocation and distribution of property to others. Therefore, the call for property rights responds to increases in scarcity of natural resources, land value and population density in the context of contemporary democratic society. Such rights have been handled in national legal systems in different ways: some Constitutions have recognised the right to property as a fundamental right, equal in stature to other personal liberties, while others have limited the asserted interests in property to those defined by private-law sources. </w:t>
      </w:r>
      <w:r w:rsidR="00E41461" w:rsidRPr="00D14B75">
        <w:rPr>
          <w:rFonts w:ascii="Times New Roman" w:eastAsia="Times New Roman" w:hAnsi="Times New Roman" w:cs="Times New Roman"/>
          <w:lang w:val="en-GB"/>
        </w:rPr>
        <w:t>M</w:t>
      </w:r>
      <w:r w:rsidRPr="00D14B75">
        <w:rPr>
          <w:rFonts w:ascii="Times New Roman" w:eastAsia="Times New Roman" w:hAnsi="Times New Roman" w:cs="Times New Roman"/>
          <w:lang w:val="en-GB"/>
        </w:rPr>
        <w:t xml:space="preserve">ost Latin American Constitutions have considered the right to private property in affirmative terms – in such a way as “the right to property is guaranteed” – </w:t>
      </w:r>
      <w:r w:rsidR="00E41461" w:rsidRPr="00D14B75">
        <w:rPr>
          <w:rFonts w:ascii="Times New Roman" w:eastAsia="Times New Roman" w:hAnsi="Times New Roman" w:cs="Times New Roman"/>
          <w:lang w:val="en-GB"/>
        </w:rPr>
        <w:t>and s</w:t>
      </w:r>
      <w:r w:rsidRPr="00D14B75">
        <w:rPr>
          <w:rFonts w:ascii="Times New Roman" w:eastAsia="Times New Roman" w:hAnsi="Times New Roman" w:cs="Times New Roman"/>
          <w:lang w:val="en-GB"/>
        </w:rPr>
        <w:t xml:space="preserve">ome legal systems have adopted a concept of the social function of property, expressing the idea that private ownership rights can be subordinated to the public interest. </w:t>
      </w:r>
      <w:r w:rsidRPr="00D14B75">
        <w:rPr>
          <w:rFonts w:ascii="Times New Roman" w:hAnsi="Times New Roman" w:cs="Times New Roman"/>
          <w:lang w:val="en-GB"/>
        </w:rPr>
        <w:t>Moreover, in many Constitutions the right to property is inscribed under chapters that regulate economic and social rights instead of being labelled as an individual right.</w:t>
      </w:r>
      <w:r w:rsidRPr="00D14B75">
        <w:rPr>
          <w:rStyle w:val="Appeldenote"/>
          <w:rFonts w:ascii="Times New Roman" w:hAnsi="Times New Roman" w:cs="Times New Roman"/>
        </w:rPr>
        <w:footnoteReference w:id="3"/>
      </w:r>
      <w:r w:rsidRPr="00D14B75">
        <w:rPr>
          <w:rFonts w:ascii="Times New Roman" w:hAnsi="Times New Roman" w:cs="Times New Roman"/>
          <w:lang w:val="en-GB"/>
        </w:rPr>
        <w:t xml:space="preserve"> </w:t>
      </w:r>
    </w:p>
    <w:p w:rsidR="00F25E2F" w:rsidRPr="00D14B75" w:rsidRDefault="00F25E2F">
      <w:pPr>
        <w:pStyle w:val="Standard"/>
        <w:spacing w:after="0" w:line="100" w:lineRule="atLeast"/>
        <w:rPr>
          <w:rFonts w:ascii="Times New Roman" w:hAnsi="Times New Roman" w:cs="Times New Roman"/>
          <w:lang w:val="en-GB"/>
        </w:rPr>
      </w:pPr>
    </w:p>
    <w:p w:rsidR="002C2721" w:rsidRPr="000D682E" w:rsidRDefault="00F25E2F">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 xml:space="preserve">The development of the social function </w:t>
      </w:r>
      <w:r w:rsidR="004B7FEB" w:rsidRPr="000D682E">
        <w:rPr>
          <w:rFonts w:ascii="Times New Roman" w:hAnsi="Times New Roman" w:cs="Times New Roman"/>
          <w:color w:val="auto"/>
          <w:lang w:val="en-GB"/>
        </w:rPr>
        <w:t>concept</w:t>
      </w:r>
      <w:r w:rsidRPr="000D682E">
        <w:rPr>
          <w:rFonts w:ascii="Times New Roman" w:hAnsi="Times New Roman" w:cs="Times New Roman"/>
          <w:color w:val="auto"/>
          <w:lang w:val="en-GB"/>
        </w:rPr>
        <w:t xml:space="preserve"> was grounded in the opportunity offered by the national legal systems for state intervention in property relations to achieve state ends, </w:t>
      </w:r>
      <w:r w:rsidR="00B75EC0" w:rsidRPr="000D682E">
        <w:rPr>
          <w:rFonts w:ascii="Times New Roman" w:hAnsi="Times New Roman" w:cs="Times New Roman"/>
          <w:color w:val="auto"/>
          <w:lang w:val="en-GB"/>
        </w:rPr>
        <w:t xml:space="preserve">especially </w:t>
      </w:r>
      <w:r w:rsidRPr="000D682E">
        <w:rPr>
          <w:rFonts w:ascii="Times New Roman" w:hAnsi="Times New Roman" w:cs="Times New Roman"/>
          <w:color w:val="auto"/>
          <w:lang w:val="en-GB"/>
        </w:rPr>
        <w:t>agrarian re</w:t>
      </w:r>
      <w:r w:rsidR="00B75EC0" w:rsidRPr="000D682E">
        <w:rPr>
          <w:rFonts w:ascii="Times New Roman" w:hAnsi="Times New Roman" w:cs="Times New Roman"/>
          <w:color w:val="auto"/>
          <w:lang w:val="en-GB"/>
        </w:rPr>
        <w:t xml:space="preserve">forms and land distribution – </w:t>
      </w:r>
      <w:r w:rsidRPr="000D682E">
        <w:rPr>
          <w:rFonts w:ascii="Times New Roman" w:hAnsi="Times New Roman" w:cs="Times New Roman"/>
          <w:color w:val="auto"/>
          <w:lang w:val="en-GB"/>
        </w:rPr>
        <w:t>historical component</w:t>
      </w:r>
      <w:r w:rsidR="00B75EC0" w:rsidRPr="000D682E">
        <w:rPr>
          <w:rFonts w:ascii="Times New Roman" w:hAnsi="Times New Roman" w:cs="Times New Roman"/>
          <w:color w:val="auto"/>
          <w:lang w:val="en-GB"/>
        </w:rPr>
        <w:t>s</w:t>
      </w:r>
      <w:r w:rsidRPr="000D682E">
        <w:rPr>
          <w:rFonts w:ascii="Times New Roman" w:hAnsi="Times New Roman" w:cs="Times New Roman"/>
          <w:color w:val="auto"/>
          <w:lang w:val="en-GB"/>
        </w:rPr>
        <w:t xml:space="preserve"> of the social revolutions and mobilisations held in the region. This view, and the fact the lands and waters located within the boundaries of the newly independent national territories were originally owned by Nations and thus publicly managed, contributed to the development of what has been called the ‘socialisation of the law’ </w:t>
      </w:r>
      <w:r w:rsidR="004B7FEB" w:rsidRPr="000D682E">
        <w:rPr>
          <w:rFonts w:ascii="Times New Roman" w:hAnsi="Times New Roman" w:cs="Times New Roman"/>
          <w:color w:val="auto"/>
          <w:lang w:val="en-GB"/>
        </w:rPr>
        <w:t xml:space="preserve">or ‘social constitutionalism’. </w:t>
      </w:r>
      <w:r w:rsidRPr="000D682E">
        <w:rPr>
          <w:rFonts w:ascii="Times New Roman" w:hAnsi="Times New Roman" w:cs="Times New Roman"/>
          <w:color w:val="auto"/>
          <w:lang w:val="en-GB"/>
        </w:rPr>
        <w:t xml:space="preserve">The concept of the social function of property articulated by Leon Duguit and Karl Renner </w:t>
      </w:r>
      <w:r w:rsidR="00464E8A" w:rsidRPr="000D682E">
        <w:rPr>
          <w:rFonts w:ascii="Times New Roman" w:hAnsi="Times New Roman" w:cs="Times New Roman"/>
          <w:color w:val="auto"/>
          <w:lang w:val="en-GB"/>
        </w:rPr>
        <w:t xml:space="preserve">developed in this context and </w:t>
      </w:r>
      <w:r w:rsidRPr="000D682E">
        <w:rPr>
          <w:rFonts w:ascii="Times New Roman" w:hAnsi="Times New Roman" w:cs="Times New Roman"/>
          <w:color w:val="auto"/>
          <w:lang w:val="en-GB"/>
        </w:rPr>
        <w:t>has influenced the inclusion of such principle in constitutional reforms in Latin America.</w:t>
      </w:r>
      <w:r w:rsidR="00464E8A" w:rsidRPr="000D682E">
        <w:rPr>
          <w:rFonts w:ascii="Times New Roman" w:hAnsi="Times New Roman" w:cs="Times New Roman"/>
          <w:color w:val="auto"/>
          <w:lang w:val="en-GB"/>
        </w:rPr>
        <w:t xml:space="preserve"> </w:t>
      </w:r>
      <w:r w:rsidR="00A61EF6" w:rsidRPr="000D682E">
        <w:rPr>
          <w:rFonts w:ascii="Times New Roman" w:hAnsi="Times New Roman" w:cs="Times New Roman"/>
          <w:color w:val="auto"/>
          <w:lang w:val="en-GB"/>
        </w:rPr>
        <w:t xml:space="preserve">Both were concerned with the adaptation of the property concept to social and economic uses and have explored the impact of economic and social forces upon the functioning and transformation of such institutions and the consequent changes in positive law. The contemporary application of the social function doctrine has evolved to include </w:t>
      </w:r>
      <w:r w:rsidR="00E41461" w:rsidRPr="000D682E">
        <w:rPr>
          <w:rFonts w:ascii="Times New Roman" w:hAnsi="Times New Roman" w:cs="Times New Roman"/>
          <w:color w:val="auto"/>
          <w:lang w:val="en-GB"/>
        </w:rPr>
        <w:t>purposes</w:t>
      </w:r>
      <w:r w:rsidR="006719E7" w:rsidRPr="000D682E">
        <w:rPr>
          <w:rFonts w:ascii="Times New Roman" w:hAnsi="Times New Roman" w:cs="Times New Roman"/>
          <w:color w:val="auto"/>
          <w:lang w:val="en-GB"/>
        </w:rPr>
        <w:t xml:space="preserve"> </w:t>
      </w:r>
      <w:r w:rsidR="00A61EF6" w:rsidRPr="000D682E">
        <w:rPr>
          <w:rFonts w:ascii="Times New Roman" w:hAnsi="Times New Roman" w:cs="Times New Roman"/>
          <w:color w:val="auto"/>
          <w:lang w:val="en-GB"/>
        </w:rPr>
        <w:t>such as an ecological function and compliance with urban land reforms, as the examples of Brazil, Colombia and Mexico show.</w:t>
      </w:r>
      <w:r w:rsidR="00464E8A" w:rsidRPr="000D682E">
        <w:rPr>
          <w:rFonts w:ascii="Times New Roman" w:hAnsi="Times New Roman" w:cs="Times New Roman"/>
          <w:color w:val="auto"/>
          <w:vertAlign w:val="superscript"/>
        </w:rPr>
        <w:footnoteReference w:id="4"/>
      </w:r>
    </w:p>
    <w:p w:rsidR="00E41461" w:rsidRPr="000D682E" w:rsidRDefault="00E41461">
      <w:pPr>
        <w:pStyle w:val="Standard"/>
        <w:spacing w:after="0" w:line="100" w:lineRule="atLeast"/>
        <w:rPr>
          <w:rFonts w:ascii="Times New Roman" w:eastAsia="Times New Roman" w:hAnsi="Times New Roman" w:cs="Times New Roman"/>
          <w:b/>
          <w:color w:val="auto"/>
          <w:lang w:val="en-GB"/>
        </w:rPr>
      </w:pPr>
    </w:p>
    <w:p w:rsidR="004B7FEB" w:rsidRPr="000D682E" w:rsidRDefault="004B7FEB">
      <w:pPr>
        <w:pStyle w:val="Standard"/>
        <w:spacing w:after="0" w:line="100" w:lineRule="atLeast"/>
        <w:rPr>
          <w:rFonts w:ascii="Times New Roman" w:eastAsia="Times New Roman" w:hAnsi="Times New Roman" w:cs="Times New Roman"/>
          <w:b/>
          <w:color w:val="auto"/>
          <w:lang w:val="en-GB"/>
        </w:rPr>
      </w:pPr>
      <w:r w:rsidRPr="000D682E">
        <w:rPr>
          <w:rFonts w:ascii="Times New Roman" w:eastAsia="Times New Roman" w:hAnsi="Times New Roman" w:cs="Times New Roman"/>
          <w:b/>
          <w:color w:val="auto"/>
          <w:lang w:val="en-GB"/>
        </w:rPr>
        <w:t>Constitutional Approach</w:t>
      </w:r>
      <w:r w:rsidR="00B75EC0" w:rsidRPr="000D682E">
        <w:rPr>
          <w:rFonts w:ascii="Times New Roman" w:eastAsia="Times New Roman" w:hAnsi="Times New Roman" w:cs="Times New Roman"/>
          <w:b/>
          <w:color w:val="auto"/>
          <w:lang w:val="en-GB"/>
        </w:rPr>
        <w:t>es</w:t>
      </w:r>
      <w:r w:rsidR="001F6D89" w:rsidRPr="000D682E">
        <w:rPr>
          <w:rFonts w:ascii="Times New Roman" w:eastAsia="Times New Roman" w:hAnsi="Times New Roman" w:cs="Times New Roman"/>
          <w:b/>
          <w:color w:val="auto"/>
          <w:lang w:val="en-GB"/>
        </w:rPr>
        <w:t xml:space="preserve"> to Urban Property</w:t>
      </w:r>
    </w:p>
    <w:p w:rsidR="004B7FEB" w:rsidRPr="000D682E" w:rsidRDefault="004B7FEB">
      <w:pPr>
        <w:pStyle w:val="Standard"/>
        <w:spacing w:after="0" w:line="100" w:lineRule="atLeast"/>
        <w:rPr>
          <w:rFonts w:ascii="Times New Roman" w:eastAsia="Times New Roman" w:hAnsi="Times New Roman" w:cs="Times New Roman"/>
          <w:color w:val="auto"/>
          <w:lang w:val="en-GB"/>
        </w:rPr>
      </w:pPr>
    </w:p>
    <w:p w:rsidR="002C2721" w:rsidRPr="000D682E" w:rsidRDefault="00B75EC0">
      <w:pPr>
        <w:pStyle w:val="Standard"/>
        <w:spacing w:after="0" w:line="100" w:lineRule="atLeast"/>
        <w:rPr>
          <w:rFonts w:ascii="Times New Roman" w:eastAsia="Times New Roman" w:hAnsi="Times New Roman" w:cs="Times New Roman"/>
          <w:color w:val="auto"/>
          <w:lang w:val="en-GB"/>
        </w:rPr>
      </w:pPr>
      <w:r w:rsidRPr="000D682E">
        <w:rPr>
          <w:rFonts w:ascii="Times New Roman" w:eastAsia="Times New Roman" w:hAnsi="Times New Roman" w:cs="Times New Roman"/>
          <w:color w:val="auto"/>
          <w:lang w:val="en-GB"/>
        </w:rPr>
        <w:t xml:space="preserve">The contemporary application of the social function doctrine, first employed as a tool to restructure land policy and provide a juridical basis to justify agrarian reforms, has evolved to include other purposes, such as an ecological function and compliance with urban land reforms, as the examples of Brazil, </w:t>
      </w:r>
      <w:r w:rsidRPr="000D682E">
        <w:rPr>
          <w:rFonts w:ascii="Times New Roman" w:eastAsia="Times New Roman" w:hAnsi="Times New Roman" w:cs="Times New Roman"/>
          <w:color w:val="auto"/>
          <w:lang w:val="en-GB"/>
        </w:rPr>
        <w:lastRenderedPageBreak/>
        <w:t xml:space="preserve">Colombia and Mexico show. </w:t>
      </w:r>
      <w:r w:rsidR="00A756B8" w:rsidRPr="000D682E">
        <w:rPr>
          <w:rFonts w:ascii="Times New Roman" w:eastAsia="Times New Roman" w:hAnsi="Times New Roman" w:cs="Times New Roman"/>
          <w:color w:val="auto"/>
          <w:lang w:val="en-GB"/>
        </w:rPr>
        <w:t>The</w:t>
      </w:r>
      <w:r w:rsidR="008F14A6" w:rsidRPr="000D682E">
        <w:rPr>
          <w:rFonts w:ascii="Times New Roman" w:eastAsia="Times New Roman" w:hAnsi="Times New Roman" w:cs="Times New Roman"/>
          <w:color w:val="auto"/>
          <w:lang w:val="en-GB"/>
        </w:rPr>
        <w:t>y</w:t>
      </w:r>
      <w:r w:rsidR="0075492A" w:rsidRPr="000D682E">
        <w:rPr>
          <w:rFonts w:ascii="Times New Roman" w:eastAsia="Times New Roman" w:hAnsi="Times New Roman" w:cs="Times New Roman"/>
          <w:color w:val="auto"/>
          <w:lang w:val="en-GB"/>
        </w:rPr>
        <w:t xml:space="preserve"> constitute interesting examples of the evolution of the doctrine of the social function of property in legal systems</w:t>
      </w:r>
      <w:r w:rsidR="00A756B8" w:rsidRPr="000D682E">
        <w:rPr>
          <w:rFonts w:ascii="Times New Roman" w:eastAsia="Times New Roman" w:hAnsi="Times New Roman" w:cs="Times New Roman"/>
          <w:color w:val="auto"/>
          <w:lang w:val="en-GB"/>
        </w:rPr>
        <w:t xml:space="preserve"> and are </w:t>
      </w:r>
      <w:r w:rsidR="0075492A" w:rsidRPr="000D682E">
        <w:rPr>
          <w:rFonts w:ascii="Times New Roman" w:eastAsia="Times New Roman" w:hAnsi="Times New Roman" w:cs="Times New Roman"/>
          <w:color w:val="auto"/>
          <w:lang w:val="en-GB"/>
        </w:rPr>
        <w:t xml:space="preserve">representative of a pattern of unequal distribution and concentration of land in </w:t>
      </w:r>
      <w:r w:rsidR="00A756B8" w:rsidRPr="000D682E">
        <w:rPr>
          <w:rFonts w:ascii="Times New Roman" w:eastAsia="Times New Roman" w:hAnsi="Times New Roman" w:cs="Times New Roman"/>
          <w:color w:val="auto"/>
          <w:lang w:val="en-GB"/>
        </w:rPr>
        <w:t>the region</w:t>
      </w:r>
      <w:r w:rsidR="0075492A" w:rsidRPr="000D682E">
        <w:rPr>
          <w:rFonts w:ascii="Times New Roman" w:eastAsia="Times New Roman" w:hAnsi="Times New Roman" w:cs="Times New Roman"/>
          <w:color w:val="auto"/>
          <w:lang w:val="en-GB"/>
        </w:rPr>
        <w:t xml:space="preserve">, which persists to the present day. </w:t>
      </w:r>
    </w:p>
    <w:p w:rsidR="00D24B9B" w:rsidRPr="000D682E" w:rsidRDefault="00D24B9B">
      <w:pPr>
        <w:pStyle w:val="Standard"/>
        <w:spacing w:after="0" w:line="100" w:lineRule="atLeast"/>
        <w:rPr>
          <w:rFonts w:ascii="Times New Roman" w:hAnsi="Times New Roman" w:cs="Times New Roman"/>
          <w:color w:val="auto"/>
        </w:rPr>
      </w:pPr>
    </w:p>
    <w:p w:rsidR="002C2721" w:rsidRPr="000D682E" w:rsidRDefault="0075492A">
      <w:pPr>
        <w:pStyle w:val="Standard"/>
        <w:spacing w:after="0" w:line="100" w:lineRule="atLeast"/>
        <w:rPr>
          <w:rFonts w:ascii="Times New Roman" w:hAnsi="Times New Roman" w:cs="Times New Roman"/>
          <w:i/>
          <w:color w:val="auto"/>
        </w:rPr>
      </w:pPr>
      <w:r w:rsidRPr="000D682E">
        <w:rPr>
          <w:rFonts w:ascii="Times New Roman" w:hAnsi="Times New Roman" w:cs="Times New Roman"/>
          <w:b/>
          <w:i/>
          <w:color w:val="auto"/>
          <w:lang w:val="en-GB"/>
        </w:rPr>
        <w:t>Brazil</w:t>
      </w:r>
    </w:p>
    <w:p w:rsidR="002C2721" w:rsidRPr="000D682E" w:rsidRDefault="0075492A">
      <w:pPr>
        <w:pStyle w:val="Standard"/>
        <w:spacing w:after="0" w:line="100" w:lineRule="atLeast"/>
        <w:rPr>
          <w:rFonts w:ascii="Times New Roman" w:hAnsi="Times New Roman" w:cs="Times New Roman"/>
          <w:color w:val="auto"/>
        </w:rPr>
      </w:pPr>
      <w:r w:rsidRPr="000D682E">
        <w:rPr>
          <w:rFonts w:ascii="Times New Roman" w:hAnsi="Times New Roman" w:cs="Times New Roman"/>
          <w:color w:val="auto"/>
          <w:lang w:val="en-GB"/>
        </w:rPr>
        <w:t xml:space="preserve">The 1988 Brazilian Constitution includes explicit references to the social function of property, which are directly justiciable provisions, as well as, housing and land tenure rights.  The social function of property figures in the Constitution as a founding principle, of immediate application, of the economic order intended to ensure everyone a life with dignity in accordance with the dictates of social justice. The Constitution links the fulfilment of the social function of urban property to the approval of municipal master plans, which instantiates a departure from its treatment under the 1916 Civil Code by bringing private ownership into the realm of the public law. The basis of this new paradigm for urban property was set out by the City Statute, a federal law approved in 2001, which has tried to reform the administrative and private law tradition in order to expand the scope of the social function of property. </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lang w:val="en-GB"/>
        </w:rPr>
        <w:t>The City Statute reinforces the power of municipal governments to regulate, induce and/or reverse urban land market trends, especially those of a speculative nature, according to criteria of social inclusion and environmental sustainability.</w:t>
      </w:r>
      <w:r w:rsidRPr="00D14B75">
        <w:rPr>
          <w:rStyle w:val="Appeldenote"/>
          <w:rFonts w:ascii="Times New Roman" w:hAnsi="Times New Roman" w:cs="Times New Roman"/>
        </w:rPr>
        <w:footnoteReference w:id="5"/>
      </w:r>
      <w:r w:rsidRPr="00D14B75">
        <w:rPr>
          <w:rFonts w:ascii="Times New Roman" w:hAnsi="Times New Roman" w:cs="Times New Roman"/>
          <w:lang w:val="en-GB"/>
        </w:rPr>
        <w:t xml:space="preserve"> It provides for concrete tools for the fulfilment of the social function of urban property, such as the compulsory obligation of land division or construction on vacant, underused or unused urban property, increases in property taxes over time and expropriation of land through payment of public debt bonds. The full development of the social functions of property entails compliance with the following guidelines: fair distribution of the benefits and burdens resulting from the urbanisation process; state’s central role in determining an adequate territorial order through a democratic planning and management system; detachment of the right to build from the right to property; regularisation and upgrading of informal settlements occupied by low income population through the establishment of special urban regulatory frameworks; equality of conditions for public and private agents in the promotion of urban development; reinforcement of the power of municipal governments to control urban development. </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BodyText2"/>
        <w:spacing w:after="0" w:line="100" w:lineRule="atLeast"/>
        <w:rPr>
          <w:sz w:val="22"/>
          <w:szCs w:val="22"/>
        </w:rPr>
      </w:pPr>
      <w:r w:rsidRPr="00D14B75">
        <w:rPr>
          <w:sz w:val="22"/>
          <w:szCs w:val="22"/>
        </w:rPr>
        <w:t xml:space="preserve">In 2002 a new Civil Code was enacted and it </w:t>
      </w:r>
      <w:r w:rsidRPr="00D14B75">
        <w:rPr>
          <w:sz w:val="22"/>
          <w:szCs w:val="22"/>
          <w:lang w:eastAsia="en-US"/>
        </w:rPr>
        <w:t>conditions the exercise of the owner’s powers – to use, enjoy and dispose of the property and get it restored from who unjustly possesses or detains it – to the fulfilment of social</w:t>
      </w:r>
      <w:r w:rsidR="00C30512" w:rsidRPr="00D14B75">
        <w:rPr>
          <w:sz w:val="22"/>
          <w:szCs w:val="22"/>
          <w:lang w:eastAsia="en-US"/>
        </w:rPr>
        <w:t>,</w:t>
      </w:r>
      <w:r w:rsidRPr="00D14B75">
        <w:rPr>
          <w:sz w:val="22"/>
          <w:szCs w:val="22"/>
          <w:lang w:eastAsia="en-US"/>
        </w:rPr>
        <w:t xml:space="preserve"> economic </w:t>
      </w:r>
      <w:r w:rsidR="00C30512" w:rsidRPr="00D14B75">
        <w:rPr>
          <w:sz w:val="22"/>
          <w:szCs w:val="22"/>
          <w:lang w:eastAsia="en-US"/>
        </w:rPr>
        <w:t xml:space="preserve">and environmental </w:t>
      </w:r>
      <w:r w:rsidRPr="00D14B75">
        <w:rPr>
          <w:sz w:val="22"/>
          <w:szCs w:val="22"/>
          <w:lang w:eastAsia="en-US"/>
        </w:rPr>
        <w:t xml:space="preserve">functions. It therefore shapes and limits the owner’s subjective right to property. </w:t>
      </w:r>
      <w:r w:rsidRPr="00D14B75">
        <w:rPr>
          <w:sz w:val="22"/>
          <w:szCs w:val="22"/>
        </w:rPr>
        <w:t>The Code provides that the owner can be deprived of property in case it consists of a large tract of land being possessed continuously and in good will, for more tha</w:t>
      </w:r>
      <w:r w:rsidR="00837350" w:rsidRPr="00D14B75">
        <w:rPr>
          <w:sz w:val="22"/>
          <w:szCs w:val="22"/>
        </w:rPr>
        <w:t xml:space="preserve">n five years, by a considerable </w:t>
      </w:r>
      <w:r w:rsidRPr="00D14B75">
        <w:rPr>
          <w:sz w:val="22"/>
          <w:szCs w:val="22"/>
        </w:rPr>
        <w:t>number of people who have improved or served the land in a manner considered of social and economic relevance</w:t>
      </w:r>
      <w:r w:rsidR="004B7FEB" w:rsidRPr="00D14B75">
        <w:rPr>
          <w:sz w:val="22"/>
          <w:szCs w:val="22"/>
        </w:rPr>
        <w:t>.</w:t>
      </w:r>
      <w:r w:rsidRPr="00D14B75">
        <w:rPr>
          <w:sz w:val="22"/>
          <w:szCs w:val="22"/>
        </w:rPr>
        <w:t xml:space="preserve"> Although it is not clear if fair compensation shall be paid to the owner in cases where the social function of property has been disregarded, the concept enshrined in the new Civil Code is significantly more compatible with the text of the Constitution than the previous Code of 1916.</w:t>
      </w:r>
    </w:p>
    <w:p w:rsidR="002C2721" w:rsidRPr="00D14B75" w:rsidRDefault="002C2721">
      <w:pPr>
        <w:pStyle w:val="Standard"/>
        <w:spacing w:after="0" w:line="100" w:lineRule="atLeast"/>
        <w:rPr>
          <w:rFonts w:ascii="Times New Roman" w:hAnsi="Times New Roman" w:cs="Times New Roman"/>
        </w:rPr>
      </w:pPr>
    </w:p>
    <w:p w:rsidR="002C2721" w:rsidRPr="00D14B75" w:rsidRDefault="00C30512">
      <w:pPr>
        <w:pStyle w:val="Standard"/>
        <w:spacing w:line="100" w:lineRule="atLeast"/>
        <w:rPr>
          <w:rFonts w:ascii="Times New Roman" w:hAnsi="Times New Roman" w:cs="Times New Roman"/>
        </w:rPr>
      </w:pPr>
      <w:r w:rsidRPr="00D14B75">
        <w:rPr>
          <w:rFonts w:ascii="Times New Roman" w:eastAsia="Times New Roman" w:hAnsi="Times New Roman" w:cs="Times New Roman"/>
          <w:lang w:val="en-GB"/>
        </w:rPr>
        <w:t>Notwithstanding</w:t>
      </w:r>
      <w:r w:rsidR="0075492A" w:rsidRPr="00D14B75">
        <w:rPr>
          <w:rFonts w:ascii="Times New Roman" w:eastAsia="Times New Roman" w:hAnsi="Times New Roman" w:cs="Times New Roman"/>
          <w:lang w:val="en-GB"/>
        </w:rPr>
        <w:t xml:space="preserve"> relevant case law has interpreted private ownership in light of the fundamental principles inscribed in the 1988 Constitution and recognised that the social function of property imposes obligations on the owner as a necessary condition to warrant protection from interference, it is difficult to sustain that there is a common understanding produced by the national jurisprudence regarding all changes and new aspects brought about by the social function approach. </w:t>
      </w:r>
    </w:p>
    <w:p w:rsidR="002C2721" w:rsidRPr="00D14B75" w:rsidRDefault="0075492A">
      <w:pPr>
        <w:pStyle w:val="Standard"/>
        <w:spacing w:after="0" w:line="100" w:lineRule="atLeast"/>
        <w:rPr>
          <w:rFonts w:ascii="Times New Roman" w:hAnsi="Times New Roman" w:cs="Times New Roman"/>
          <w:i/>
        </w:rPr>
      </w:pPr>
      <w:r w:rsidRPr="00D14B75">
        <w:rPr>
          <w:rFonts w:ascii="Times New Roman" w:hAnsi="Times New Roman" w:cs="Times New Roman"/>
          <w:b/>
          <w:i/>
          <w:lang w:val="en-GB"/>
        </w:rPr>
        <w:t>Colombia</w:t>
      </w: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lang w:val="en-GB" w:eastAsia="ar-SA"/>
        </w:rPr>
        <w:t xml:space="preserve">After the 1936 constitutional reform, which was influenced by the thought of Duguit, the Constitution of Colombia </w:t>
      </w:r>
      <w:r w:rsidR="00C30512" w:rsidRPr="00D14B75">
        <w:rPr>
          <w:rFonts w:ascii="Times New Roman" w:hAnsi="Times New Roman" w:cs="Times New Roman"/>
          <w:lang w:val="en-GB" w:eastAsia="ar-SA"/>
        </w:rPr>
        <w:t>recognised</w:t>
      </w:r>
      <w:r w:rsidRPr="00D14B75">
        <w:rPr>
          <w:rFonts w:ascii="Times New Roman" w:hAnsi="Times New Roman" w:cs="Times New Roman"/>
          <w:lang w:val="en-GB" w:eastAsia="ar-SA"/>
        </w:rPr>
        <w:t xml:space="preserve"> the social function of property</w:t>
      </w:r>
      <w:r w:rsidR="00C30512" w:rsidRPr="00D14B75">
        <w:rPr>
          <w:rFonts w:ascii="Times New Roman" w:hAnsi="Times New Roman" w:cs="Times New Roman"/>
          <w:lang w:val="en-GB" w:eastAsia="ar-SA"/>
        </w:rPr>
        <w:t xml:space="preserve">, and the </w:t>
      </w:r>
      <w:r w:rsidRPr="00D14B75">
        <w:rPr>
          <w:rFonts w:ascii="Times New Roman" w:hAnsi="Times New Roman" w:cs="Times New Roman"/>
          <w:lang w:val="en-GB" w:eastAsia="ar-SA"/>
        </w:rPr>
        <w:t xml:space="preserve">current Constitution (1991) contains one of the most advanced regulations </w:t>
      </w:r>
      <w:r w:rsidR="00C30512" w:rsidRPr="00D14B75">
        <w:rPr>
          <w:rFonts w:ascii="Times New Roman" w:hAnsi="Times New Roman" w:cs="Times New Roman"/>
          <w:lang w:val="en-GB" w:eastAsia="ar-SA"/>
        </w:rPr>
        <w:t>on this respect</w:t>
      </w:r>
      <w:r w:rsidRPr="00D14B75">
        <w:rPr>
          <w:rFonts w:ascii="Times New Roman" w:hAnsi="Times New Roman" w:cs="Times New Roman"/>
          <w:lang w:val="en-GB" w:eastAsia="ar-SA"/>
        </w:rPr>
        <w:t xml:space="preserve">. Although it prohibits confiscation of property, it concedes that a judicial sentence may nullify ownership of property acquired by unjust enrichment when it is harmful to the public treasury or to social morality. It also establishes that when public necessity or social interest conflict with individual rights, private interests shall yield to the public </w:t>
      </w:r>
      <w:r w:rsidR="00C30512" w:rsidRPr="00D14B75">
        <w:rPr>
          <w:rFonts w:ascii="Times New Roman" w:hAnsi="Times New Roman" w:cs="Times New Roman"/>
          <w:lang w:val="en-GB" w:eastAsia="ar-SA"/>
        </w:rPr>
        <w:t>interests</w:t>
      </w:r>
      <w:r w:rsidRPr="00D14B75">
        <w:rPr>
          <w:rFonts w:ascii="Times New Roman" w:hAnsi="Times New Roman" w:cs="Times New Roman"/>
          <w:lang w:val="en-GB" w:eastAsia="ar-SA"/>
        </w:rPr>
        <w:t xml:space="preserve"> and that property is a social function that implies obligations. The Constitution legitimates a system of recovery </w:t>
      </w:r>
      <w:r w:rsidRPr="00D14B75">
        <w:rPr>
          <w:rFonts w:ascii="Times New Roman" w:hAnsi="Times New Roman" w:cs="Times New Roman"/>
          <w:lang w:val="en-GB" w:eastAsia="ar-SA"/>
        </w:rPr>
        <w:lastRenderedPageBreak/>
        <w:t xml:space="preserve">and redistribution of value increments or increases on prices of urban private property, deriving from public investments or from decisions related to territorial planning. </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lang w:val="en-GB" w:eastAsia="ar-SA"/>
        </w:rPr>
        <w:t>The jurisprudence of the Constitutional Court conceded that the Constitution relativized the fundamental right to property and submitted it to the interests of the collectivity by limiting the discretion of the owner.</w:t>
      </w:r>
      <w:r w:rsidRPr="00D14B75">
        <w:rPr>
          <w:rStyle w:val="Appeldenote"/>
          <w:rFonts w:ascii="Times New Roman" w:hAnsi="Times New Roman" w:cs="Times New Roman"/>
        </w:rPr>
        <w:footnoteReference w:id="6"/>
      </w:r>
      <w:r w:rsidRPr="00D14B75">
        <w:rPr>
          <w:rFonts w:ascii="Times New Roman" w:hAnsi="Times New Roman" w:cs="Times New Roman"/>
          <w:lang w:val="en-GB" w:eastAsia="ar-SA"/>
        </w:rPr>
        <w:t xml:space="preserve"> In case of the owner’s omission in fulfilling his obligations towards the social function, his ownership loses legal protection and can be extinct. The Court has held that compensation is not due in all types of restrictions inflicted to property, but rather, compensation is due when expropriation impinges in the form of excessive sacrifices on an owner in relation to other individuals in the same position. For the Court, ownership can also be limited by legislation issued for the benefit of society, such as for reasons of sanitation, urbanism, environmental conservation, and security. In this regard, it declared constitutional the Law n. 9 which imposes an </w:t>
      </w:r>
      <w:r w:rsidRPr="00D14B75">
        <w:rPr>
          <w:rFonts w:ascii="Times New Roman" w:hAnsi="Times New Roman" w:cs="Times New Roman"/>
          <w:lang w:val="en-GB"/>
        </w:rPr>
        <w:t>obligation on private developers to grant an amount of their land gratuitously to the municipality to be set aside for certain uses, such as for roads, for open spaces and for social services.</w:t>
      </w:r>
      <w:r w:rsidRPr="00D14B75">
        <w:rPr>
          <w:rStyle w:val="Appeldenote"/>
          <w:rFonts w:ascii="Times New Roman" w:hAnsi="Times New Roman" w:cs="Times New Roman"/>
        </w:rPr>
        <w:footnoteReference w:id="7"/>
      </w:r>
      <w:r w:rsidRPr="00D14B75">
        <w:rPr>
          <w:rFonts w:ascii="Times New Roman" w:hAnsi="Times New Roman" w:cs="Times New Roman"/>
          <w:lang w:val="en-GB"/>
        </w:rPr>
        <w:t xml:space="preserve"> The Court has also recognised that where urban reform pursues a social purpose, such as the redistribution of property, it justifies the application of a special expropriation regime in the context of the cities or a reduction in the amount to be paid.</w:t>
      </w:r>
      <w:r w:rsidRPr="00D14B75">
        <w:rPr>
          <w:rStyle w:val="Appeldenote"/>
          <w:rFonts w:ascii="Times New Roman" w:hAnsi="Times New Roman" w:cs="Times New Roman"/>
        </w:rPr>
        <w:footnoteReference w:id="8"/>
      </w:r>
      <w:r w:rsidRPr="00D14B75">
        <w:rPr>
          <w:rFonts w:ascii="Times New Roman" w:hAnsi="Times New Roman" w:cs="Times New Roman"/>
          <w:lang w:val="en-GB"/>
        </w:rPr>
        <w:t xml:space="preserve">  In case the expropriated property was used as the family housing, compensation shall be fully paid in cash in order to assure that those affected are not rendered homeless and are able to afford the purchase of a new property to live in. </w:t>
      </w:r>
      <w:r w:rsidRPr="00D14B75">
        <w:rPr>
          <w:rFonts w:ascii="Times New Roman" w:hAnsi="Times New Roman" w:cs="Times New Roman"/>
          <w:lang w:val="en-GB" w:eastAsia="ar-SA"/>
        </w:rPr>
        <w:t>The Court has also declared unconstitutional the part of Art. 699 of the Civil Code which provided for the ‘right to arbitrarily dispose of the thing owned’, as this concept of property was found to be in contradiction with that of the Constitution.</w:t>
      </w:r>
      <w:r w:rsidRPr="00D14B75">
        <w:rPr>
          <w:rStyle w:val="Appeldenote"/>
          <w:rFonts w:ascii="Times New Roman" w:hAnsi="Times New Roman" w:cs="Times New Roman"/>
        </w:rPr>
        <w:footnoteReference w:id="9"/>
      </w:r>
      <w:r w:rsidRPr="00D14B75">
        <w:rPr>
          <w:rFonts w:ascii="Times New Roman" w:hAnsi="Times New Roman" w:cs="Times New Roman"/>
          <w:lang w:val="en-GB" w:eastAsia="ar-SA"/>
        </w:rPr>
        <w:t xml:space="preserve"> For it, the term ‘arbitrarily’ denoted a marked individualistic interest which was not compatible with the principle of the social state governed by the rule of law (Estado Social de Derecho) in which the Constitution is rooted. </w:t>
      </w:r>
      <w:r w:rsidRPr="00D14B75">
        <w:rPr>
          <w:rFonts w:ascii="Times New Roman" w:hAnsi="Times New Roman" w:cs="Times New Roman"/>
          <w:lang w:val="en-GB"/>
        </w:rPr>
        <w:t>The Social Function Doctrine of the Colombian Constitution imposes the positive obligation on the owner to use their property not only in a way that does not cause harm but that is beneficial to the community.</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Standard"/>
        <w:spacing w:after="0" w:line="100" w:lineRule="atLeast"/>
        <w:rPr>
          <w:rFonts w:ascii="Times New Roman" w:hAnsi="Times New Roman" w:cs="Times New Roman"/>
          <w:i/>
        </w:rPr>
      </w:pPr>
      <w:r w:rsidRPr="00D14B75">
        <w:rPr>
          <w:rFonts w:ascii="Times New Roman" w:hAnsi="Times New Roman" w:cs="Times New Roman"/>
          <w:b/>
          <w:i/>
          <w:lang w:val="en-GB"/>
        </w:rPr>
        <w:t>Mexico</w:t>
      </w: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lang w:val="en-GB"/>
        </w:rPr>
        <w:t xml:space="preserve">The Mexican Constitution of 1917 and the German Weimar Constitution are said to have inaugurated the phase of social constitutionalism by having introduced a number of social rights which articulate different fundamental dimensions of the social and economic life of individuals. The ownership forms recognised by the Constitution – private, public and social – derive from original property rights vested in the Mexican Nation. The main objectives were the restitution of the original lands to indigenous peoples and the regulation of land distribution and ownership through the reintroduction of the </w:t>
      </w:r>
      <w:r w:rsidRPr="00D14B75">
        <w:rPr>
          <w:rFonts w:ascii="Times New Roman" w:hAnsi="Times New Roman" w:cs="Times New Roman"/>
          <w:i/>
          <w:lang w:val="en-GB"/>
        </w:rPr>
        <w:t>ejido</w:t>
      </w:r>
      <w:r w:rsidRPr="00D14B75">
        <w:rPr>
          <w:rStyle w:val="Appeldenote"/>
          <w:rFonts w:ascii="Times New Roman" w:hAnsi="Times New Roman" w:cs="Times New Roman"/>
        </w:rPr>
        <w:footnoteReference w:id="10"/>
      </w:r>
      <w:r w:rsidRPr="00D14B75">
        <w:rPr>
          <w:rFonts w:ascii="Times New Roman" w:hAnsi="Times New Roman" w:cs="Times New Roman"/>
          <w:lang w:val="en-GB"/>
        </w:rPr>
        <w:t xml:space="preserve"> system as a means to expropriate large land holdings.</w:t>
      </w:r>
      <w:r w:rsidRPr="00D14B75">
        <w:rPr>
          <w:rStyle w:val="Appeldenote"/>
          <w:rFonts w:ascii="Times New Roman" w:hAnsi="Times New Roman" w:cs="Times New Roman"/>
        </w:rPr>
        <w:footnoteReference w:id="11"/>
      </w:r>
      <w:r w:rsidRPr="00D14B75">
        <w:rPr>
          <w:rFonts w:ascii="Times New Roman" w:hAnsi="Times New Roman" w:cs="Times New Roman"/>
          <w:lang w:val="en-GB"/>
        </w:rPr>
        <w:t xml:space="preserve"> The reform of 1992 introduced a range of changes in the 1917 Constitution:</w:t>
      </w:r>
      <w:r w:rsidRPr="00D14B75">
        <w:rPr>
          <w:rStyle w:val="Appeldenote"/>
          <w:rFonts w:ascii="Times New Roman" w:hAnsi="Times New Roman" w:cs="Times New Roman"/>
        </w:rPr>
        <w:footnoteReference w:id="12"/>
      </w:r>
      <w:r w:rsidRPr="00D14B75">
        <w:rPr>
          <w:rFonts w:ascii="Times New Roman" w:hAnsi="Times New Roman" w:cs="Times New Roman"/>
          <w:lang w:val="en-GB"/>
        </w:rPr>
        <w:t xml:space="preserve"> a) removal of the constitutional obligation of the Mexican State to redistribute land to peasants; b) the introduction of the possibility of selling and leasing </w:t>
      </w:r>
      <w:r w:rsidRPr="00D14B75">
        <w:rPr>
          <w:rFonts w:ascii="Times New Roman" w:hAnsi="Times New Roman" w:cs="Times New Roman"/>
          <w:i/>
          <w:lang w:val="en-GB"/>
        </w:rPr>
        <w:t xml:space="preserve">ejido </w:t>
      </w:r>
      <w:r w:rsidRPr="00D14B75">
        <w:rPr>
          <w:rFonts w:ascii="Times New Roman" w:hAnsi="Times New Roman" w:cs="Times New Roman"/>
          <w:lang w:val="en-GB"/>
        </w:rPr>
        <w:t xml:space="preserve">land under certain procedures; c) the encouragement of private investment through partnerships between </w:t>
      </w:r>
      <w:r w:rsidRPr="00D14B75">
        <w:rPr>
          <w:rFonts w:ascii="Times New Roman" w:hAnsi="Times New Roman" w:cs="Times New Roman"/>
          <w:i/>
          <w:lang w:val="en-GB"/>
        </w:rPr>
        <w:t xml:space="preserve">ejidatarios </w:t>
      </w:r>
      <w:r w:rsidRPr="00D14B75">
        <w:rPr>
          <w:rFonts w:ascii="Times New Roman" w:hAnsi="Times New Roman" w:cs="Times New Roman"/>
          <w:lang w:val="en-GB"/>
        </w:rPr>
        <w:t xml:space="preserve">and commercial companies to develop land; d) the </w:t>
      </w:r>
      <w:r w:rsidR="009C76C5" w:rsidRPr="00D14B75">
        <w:rPr>
          <w:rFonts w:ascii="Times New Roman" w:hAnsi="Times New Roman" w:cs="Times New Roman"/>
          <w:lang w:val="en-GB"/>
        </w:rPr>
        <w:t xml:space="preserve">creation of new types of owners and </w:t>
      </w:r>
      <w:r w:rsidRPr="00D14B75">
        <w:rPr>
          <w:rFonts w:ascii="Times New Roman" w:hAnsi="Times New Roman" w:cs="Times New Roman"/>
          <w:lang w:val="en-GB"/>
        </w:rPr>
        <w:t xml:space="preserve"> such as commercial societies, </w:t>
      </w:r>
      <w:r w:rsidR="009C76C5" w:rsidRPr="00D14B75">
        <w:rPr>
          <w:rFonts w:ascii="Times New Roman" w:hAnsi="Times New Roman" w:cs="Times New Roman"/>
          <w:lang w:val="en-GB"/>
        </w:rPr>
        <w:t>and the</w:t>
      </w:r>
      <w:r w:rsidRPr="00D14B75">
        <w:rPr>
          <w:rFonts w:ascii="Times New Roman" w:hAnsi="Times New Roman" w:cs="Times New Roman"/>
          <w:lang w:val="en-GB"/>
        </w:rPr>
        <w:t xml:space="preserve"> broadening </w:t>
      </w:r>
      <w:r w:rsidR="009C76C5" w:rsidRPr="00D14B75">
        <w:rPr>
          <w:rFonts w:ascii="Times New Roman" w:hAnsi="Times New Roman" w:cs="Times New Roman"/>
          <w:lang w:val="en-GB"/>
        </w:rPr>
        <w:t xml:space="preserve">of </w:t>
      </w:r>
      <w:r w:rsidRPr="00D14B75">
        <w:rPr>
          <w:rFonts w:ascii="Times New Roman" w:hAnsi="Times New Roman" w:cs="Times New Roman"/>
          <w:lang w:val="en-GB"/>
        </w:rPr>
        <w:t xml:space="preserve">the size of </w:t>
      </w:r>
      <w:r w:rsidR="009C76C5" w:rsidRPr="00D14B75">
        <w:rPr>
          <w:rFonts w:ascii="Times New Roman" w:hAnsi="Times New Roman" w:cs="Times New Roman"/>
          <w:lang w:val="en-GB"/>
        </w:rPr>
        <w:t xml:space="preserve">such </w:t>
      </w:r>
      <w:r w:rsidRPr="00D14B75">
        <w:rPr>
          <w:rFonts w:ascii="Times New Roman" w:hAnsi="Times New Roman" w:cs="Times New Roman"/>
          <w:lang w:val="en-GB"/>
        </w:rPr>
        <w:t>properties in order to reverse the multiplication of private small holdings (</w:t>
      </w:r>
      <w:r w:rsidRPr="00D14B75">
        <w:rPr>
          <w:rFonts w:ascii="Times New Roman" w:hAnsi="Times New Roman" w:cs="Times New Roman"/>
          <w:i/>
          <w:lang w:val="en-GB"/>
        </w:rPr>
        <w:t>minifundio</w:t>
      </w:r>
      <w:r w:rsidRPr="00D14B75">
        <w:rPr>
          <w:rFonts w:ascii="Times New Roman" w:hAnsi="Times New Roman" w:cs="Times New Roman"/>
          <w:lang w:val="en-GB"/>
        </w:rPr>
        <w:t>). The modification of the 1917 Constitution also resulted in the elimination of the requirement of use or exploitation from the legal definition of small, rural land holding protected from expropriation. This indicates that landowners became free to use their land as it pleases or even leave them idle, and it might have an impact on the levels of compensation to be paid in case of expropriation due to land reform and on the positive obligation of productive use of property.</w:t>
      </w:r>
    </w:p>
    <w:p w:rsidR="002C2721" w:rsidRPr="00D14B75" w:rsidRDefault="002C2721">
      <w:pPr>
        <w:pStyle w:val="Standard"/>
        <w:spacing w:after="0" w:line="100" w:lineRule="atLeast"/>
        <w:rPr>
          <w:rFonts w:ascii="Times New Roman" w:hAnsi="Times New Roman" w:cs="Times New Roman"/>
        </w:rPr>
      </w:pPr>
    </w:p>
    <w:p w:rsidR="002C2721" w:rsidRPr="00D14B75" w:rsidRDefault="0075492A">
      <w:pPr>
        <w:pStyle w:val="Standard"/>
        <w:spacing w:after="0" w:line="100" w:lineRule="atLeast"/>
        <w:rPr>
          <w:rFonts w:ascii="Times New Roman" w:hAnsi="Times New Roman" w:cs="Times New Roman"/>
        </w:rPr>
      </w:pPr>
      <w:r w:rsidRPr="00D14B75">
        <w:rPr>
          <w:rFonts w:ascii="Times New Roman" w:hAnsi="Times New Roman" w:cs="Times New Roman"/>
          <w:lang w:val="en-GB"/>
        </w:rPr>
        <w:t>Albeit such changes, the Constitution limits property rights by establishing a maximum area of property that can be owned according to the type of tenure and crops, defines the authorised uses and exploitation methods of different types of land, and imposes specific regulations for different types of land. In comparison to the Constitution of Colombia, it genuinely establishes a ceiling on the amount of landed property that can be privately owned and regulates the small properties being protected under such provision. Jurisprudence has evolved to recognise the competence of local authorities to likewise impose limitations on the right to private property, especially for the purposes of regulating the organisation of informal settlements.</w:t>
      </w:r>
      <w:r w:rsidRPr="00D14B75">
        <w:rPr>
          <w:rStyle w:val="Appeldenote"/>
          <w:rFonts w:ascii="Times New Roman" w:hAnsi="Times New Roman" w:cs="Times New Roman"/>
        </w:rPr>
        <w:footnoteReference w:id="13"/>
      </w:r>
      <w:r w:rsidRPr="00D14B75">
        <w:rPr>
          <w:rFonts w:ascii="Times New Roman" w:hAnsi="Times New Roman" w:cs="Times New Roman"/>
          <w:lang w:val="en-GB"/>
        </w:rPr>
        <w:t xml:space="preserve"> </w:t>
      </w:r>
      <w:r w:rsidR="00C05770" w:rsidRPr="00D14B75">
        <w:rPr>
          <w:rFonts w:ascii="Times New Roman" w:hAnsi="Times New Roman" w:cs="Times New Roman"/>
          <w:lang w:val="en-GB"/>
        </w:rPr>
        <w:t>I</w:t>
      </w:r>
      <w:r w:rsidRPr="00D14B75">
        <w:rPr>
          <w:rFonts w:ascii="Times New Roman" w:hAnsi="Times New Roman" w:cs="Times New Roman"/>
          <w:lang w:val="en-GB"/>
        </w:rPr>
        <w:t>n urban areas all</w:t>
      </w:r>
      <w:r w:rsidRPr="00D14B75">
        <w:rPr>
          <w:rFonts w:ascii="Times New Roman" w:hAnsi="Times New Roman" w:cs="Times New Roman"/>
          <w:i/>
          <w:lang w:val="en-GB"/>
        </w:rPr>
        <w:t xml:space="preserve"> </w:t>
      </w:r>
      <w:r w:rsidRPr="00D14B75">
        <w:rPr>
          <w:rFonts w:ascii="Times New Roman" w:hAnsi="Times New Roman" w:cs="Times New Roman"/>
          <w:lang w:val="en-GB"/>
        </w:rPr>
        <w:t>types of land are subject to limitations in the public interest</w:t>
      </w:r>
      <w:r w:rsidRPr="00D14B75">
        <w:rPr>
          <w:rStyle w:val="Appeldenote"/>
          <w:rFonts w:ascii="Times New Roman" w:hAnsi="Times New Roman" w:cs="Times New Roman"/>
        </w:rPr>
        <w:footnoteReference w:id="14"/>
      </w:r>
      <w:r w:rsidRPr="00D14B75">
        <w:rPr>
          <w:rFonts w:ascii="Times New Roman" w:hAnsi="Times New Roman" w:cs="Times New Roman"/>
          <w:lang w:val="en-GB"/>
        </w:rPr>
        <w:t xml:space="preserve"> </w:t>
      </w:r>
      <w:r w:rsidR="009C76C5" w:rsidRPr="00D14B75">
        <w:rPr>
          <w:rFonts w:ascii="Times New Roman" w:hAnsi="Times New Roman" w:cs="Times New Roman"/>
          <w:lang w:val="en-GB"/>
        </w:rPr>
        <w:t>although</w:t>
      </w:r>
      <w:r w:rsidRPr="00D14B75">
        <w:rPr>
          <w:rFonts w:ascii="Times New Roman" w:hAnsi="Times New Roman" w:cs="Times New Roman"/>
          <w:lang w:val="en-GB"/>
        </w:rPr>
        <w:t>, as far as the regulation of human settlements is concerned, the dual property regimes established by the Constitution – individual private property and social property (</w:t>
      </w:r>
      <w:r w:rsidRPr="00D14B75">
        <w:rPr>
          <w:rFonts w:ascii="Times New Roman" w:hAnsi="Times New Roman" w:cs="Times New Roman"/>
          <w:i/>
          <w:lang w:val="en-GB"/>
        </w:rPr>
        <w:t>ejidos</w:t>
      </w:r>
      <w:r w:rsidRPr="00D14B75">
        <w:rPr>
          <w:rFonts w:ascii="Times New Roman" w:hAnsi="Times New Roman" w:cs="Times New Roman"/>
          <w:lang w:val="en-GB"/>
        </w:rPr>
        <w:t xml:space="preserve"> and </w:t>
      </w:r>
      <w:r w:rsidRPr="00D14B75">
        <w:rPr>
          <w:rFonts w:ascii="Times New Roman" w:hAnsi="Times New Roman" w:cs="Times New Roman"/>
          <w:i/>
          <w:lang w:val="en-GB"/>
        </w:rPr>
        <w:t>nucleos agrarios</w:t>
      </w:r>
      <w:r w:rsidRPr="00D14B75">
        <w:rPr>
          <w:rFonts w:ascii="Times New Roman" w:hAnsi="Times New Roman" w:cs="Times New Roman"/>
          <w:lang w:val="en-GB"/>
        </w:rPr>
        <w:t>) – are said to have produced fragmentation of the control and management of the territory.</w:t>
      </w:r>
      <w:r w:rsidRPr="00D14B75">
        <w:rPr>
          <w:rStyle w:val="Appeldenote"/>
          <w:rFonts w:ascii="Times New Roman" w:hAnsi="Times New Roman" w:cs="Times New Roman"/>
        </w:rPr>
        <w:footnoteReference w:id="15"/>
      </w:r>
      <w:r w:rsidRPr="00D14B75">
        <w:rPr>
          <w:rFonts w:ascii="Times New Roman" w:hAnsi="Times New Roman" w:cs="Times New Roman"/>
          <w:lang w:val="en-GB"/>
        </w:rPr>
        <w:t xml:space="preserve"> </w:t>
      </w:r>
      <w:r w:rsidR="009C76C5" w:rsidRPr="00D14B75">
        <w:rPr>
          <w:rFonts w:ascii="Times New Roman" w:hAnsi="Times New Roman" w:cs="Times New Roman"/>
          <w:lang w:val="en-GB"/>
        </w:rPr>
        <w:t>Even though</w:t>
      </w:r>
      <w:r w:rsidRPr="00D14B75">
        <w:rPr>
          <w:rFonts w:ascii="Times New Roman" w:hAnsi="Times New Roman" w:cs="Times New Roman"/>
          <w:lang w:val="en-GB"/>
        </w:rPr>
        <w:t xml:space="preserve"> the Mexican Constitution does not use the term ‘social function’, the concept is clearly implicit and has been developed in the jurisprudence of the Supreme Court. </w:t>
      </w:r>
      <w:r w:rsidR="00C05770" w:rsidRPr="00D14B75">
        <w:rPr>
          <w:rFonts w:ascii="Times New Roman" w:hAnsi="Times New Roman" w:cs="Times New Roman"/>
          <w:lang w:val="en-GB"/>
        </w:rPr>
        <w:t>T</w:t>
      </w:r>
      <w:r w:rsidRPr="00D14B75">
        <w:rPr>
          <w:rFonts w:ascii="Times New Roman" w:hAnsi="Times New Roman" w:cs="Times New Roman"/>
          <w:lang w:val="en-GB"/>
        </w:rPr>
        <w:t xml:space="preserve">he constitutional system has yet to recognise as part of the property regime the rights of the residents of informal settlements that resulted from illegal developments and sub-divisions of rural </w:t>
      </w:r>
      <w:r w:rsidRPr="00D14B75">
        <w:rPr>
          <w:rFonts w:ascii="Times New Roman" w:hAnsi="Times New Roman" w:cs="Times New Roman"/>
          <w:i/>
          <w:iCs/>
          <w:lang w:val="en-GB"/>
        </w:rPr>
        <w:t>ejidos</w:t>
      </w:r>
      <w:r w:rsidRPr="00D14B75">
        <w:rPr>
          <w:rFonts w:ascii="Times New Roman" w:hAnsi="Times New Roman" w:cs="Times New Roman"/>
          <w:lang w:val="en-GB"/>
        </w:rPr>
        <w:t>, which thus might have to fulfil a social function. Since they</w:t>
      </w:r>
      <w:r w:rsidRPr="00D14B75">
        <w:rPr>
          <w:rFonts w:ascii="Times New Roman" w:hAnsi="Times New Roman" w:cs="Times New Roman"/>
          <w:i/>
          <w:iCs/>
          <w:lang w:val="en-GB"/>
        </w:rPr>
        <w:t xml:space="preserve"> </w:t>
      </w:r>
      <w:r w:rsidRPr="00D14B75">
        <w:rPr>
          <w:rFonts w:ascii="Times New Roman" w:hAnsi="Times New Roman" w:cs="Times New Roman"/>
          <w:lang w:val="en-GB"/>
        </w:rPr>
        <w:t>are not recognised as such, they would not be subject to limitations imposed by the state on grounds of public interest considerations, as articulated in the Constitution.</w:t>
      </w:r>
      <w:r w:rsidRPr="00D14B75">
        <w:rPr>
          <w:rStyle w:val="Appeldenote"/>
          <w:rFonts w:ascii="Times New Roman" w:hAnsi="Times New Roman" w:cs="Times New Roman"/>
        </w:rPr>
        <w:footnoteReference w:id="16"/>
      </w:r>
      <w:r w:rsidRPr="00D14B75">
        <w:rPr>
          <w:rFonts w:ascii="Times New Roman" w:hAnsi="Times New Roman" w:cs="Times New Roman"/>
          <w:lang w:val="en-GB"/>
        </w:rPr>
        <w:t xml:space="preserve"> As a result, informal settlements have spread out throughout the Mexican territory and with almost no regulatory control over the social and environmental functions they should fulfil.</w:t>
      </w:r>
    </w:p>
    <w:p w:rsidR="002C2721" w:rsidRPr="00D14B75" w:rsidRDefault="002C2721">
      <w:pPr>
        <w:pStyle w:val="NormalWeb"/>
        <w:spacing w:before="0" w:after="0"/>
        <w:rPr>
          <w:rFonts w:ascii="Times New Roman" w:hAnsi="Times New Roman" w:cs="Times New Roman"/>
          <w:sz w:val="22"/>
          <w:szCs w:val="22"/>
        </w:rPr>
      </w:pPr>
    </w:p>
    <w:p w:rsidR="002C2721" w:rsidRPr="00D14B75" w:rsidRDefault="0075492A">
      <w:pPr>
        <w:pStyle w:val="NormalWeb"/>
        <w:spacing w:before="0" w:after="0"/>
        <w:rPr>
          <w:rFonts w:ascii="Times New Roman" w:hAnsi="Times New Roman" w:cs="Times New Roman"/>
          <w:sz w:val="22"/>
          <w:szCs w:val="22"/>
        </w:rPr>
      </w:pPr>
      <w:r w:rsidRPr="00D14B75">
        <w:rPr>
          <w:rFonts w:ascii="Times New Roman" w:hAnsi="Times New Roman" w:cs="Times New Roman"/>
          <w:sz w:val="22"/>
          <w:szCs w:val="22"/>
          <w:lang w:val="en-GB"/>
        </w:rPr>
        <w:t>With regards to civil law, the Federal Civil Code enacted in 2000 embedded the constitutional concept of the social function of property. The proprietor can dispose of and enjoy property according to the limitations and modalities established by the law, which can restrict its usage or impose certain conditions for its enjoyment. The Civil Code limits to the exercise of ownership and prohibits the abuse of rights</w:t>
      </w:r>
      <w:r w:rsidR="009C76C5" w:rsidRPr="00D14B75">
        <w:rPr>
          <w:rFonts w:ascii="Times New Roman" w:hAnsi="Times New Roman" w:cs="Times New Roman"/>
          <w:sz w:val="22"/>
          <w:szCs w:val="22"/>
          <w:lang w:val="en-GB"/>
        </w:rPr>
        <w:t>.</w:t>
      </w:r>
      <w:r w:rsidRPr="00D14B75">
        <w:rPr>
          <w:rFonts w:ascii="Times New Roman" w:hAnsi="Times New Roman" w:cs="Times New Roman"/>
          <w:sz w:val="22"/>
          <w:szCs w:val="22"/>
          <w:lang w:val="en-GB"/>
        </w:rPr>
        <w:t xml:space="preserve"> </w:t>
      </w:r>
    </w:p>
    <w:p w:rsidR="002C2721" w:rsidRPr="00D14B75" w:rsidRDefault="002C2721">
      <w:pPr>
        <w:pStyle w:val="Standard"/>
        <w:spacing w:after="0" w:line="100" w:lineRule="atLeast"/>
        <w:rPr>
          <w:rFonts w:ascii="Times New Roman" w:hAnsi="Times New Roman" w:cs="Times New Roman"/>
        </w:rPr>
      </w:pPr>
    </w:p>
    <w:p w:rsidR="002C2721" w:rsidRPr="000D682E" w:rsidRDefault="00A41D0C">
      <w:pPr>
        <w:pStyle w:val="Standard"/>
        <w:spacing w:after="0" w:line="100" w:lineRule="atLeast"/>
        <w:rPr>
          <w:rFonts w:ascii="Times New Roman" w:hAnsi="Times New Roman" w:cs="Times New Roman"/>
          <w:b/>
          <w:color w:val="auto"/>
          <w:lang w:val="en-GB"/>
        </w:rPr>
      </w:pPr>
      <w:r w:rsidRPr="000D682E">
        <w:rPr>
          <w:rFonts w:ascii="Times New Roman" w:hAnsi="Times New Roman" w:cs="Times New Roman"/>
          <w:b/>
          <w:color w:val="auto"/>
          <w:lang w:val="en-GB"/>
        </w:rPr>
        <w:t xml:space="preserve">Implementation of </w:t>
      </w:r>
      <w:r w:rsidR="0075492A" w:rsidRPr="000D682E">
        <w:rPr>
          <w:rFonts w:ascii="Times New Roman" w:hAnsi="Times New Roman" w:cs="Times New Roman"/>
          <w:b/>
          <w:color w:val="auto"/>
          <w:lang w:val="en-GB"/>
        </w:rPr>
        <w:t xml:space="preserve">the Social Function of Property </w:t>
      </w:r>
    </w:p>
    <w:p w:rsidR="00A41D0C" w:rsidRPr="000D682E" w:rsidRDefault="00A41D0C">
      <w:pPr>
        <w:pStyle w:val="Standard"/>
        <w:spacing w:after="0" w:line="100" w:lineRule="atLeast"/>
        <w:rPr>
          <w:rFonts w:ascii="Times New Roman" w:hAnsi="Times New Roman" w:cs="Times New Roman"/>
          <w:color w:val="auto"/>
        </w:rPr>
      </w:pPr>
    </w:p>
    <w:p w:rsidR="002C2721" w:rsidRPr="000D682E" w:rsidRDefault="00197D8A" w:rsidP="00197D8A">
      <w:pPr>
        <w:pStyle w:val="Standard"/>
        <w:spacing w:after="0" w:line="100" w:lineRule="atLeast"/>
        <w:rPr>
          <w:rFonts w:ascii="Times New Roman" w:eastAsia="Times New Roman" w:hAnsi="Times New Roman" w:cs="Times New Roman"/>
          <w:color w:val="auto"/>
          <w:lang w:val="en-GB"/>
        </w:rPr>
      </w:pPr>
      <w:r w:rsidRPr="000D682E">
        <w:rPr>
          <w:rFonts w:ascii="Times New Roman" w:hAnsi="Times New Roman" w:cs="Times New Roman"/>
          <w:color w:val="auto"/>
          <w:lang w:val="en-GB"/>
        </w:rPr>
        <w:t>M</w:t>
      </w:r>
      <w:r w:rsidR="0075492A" w:rsidRPr="000D682E">
        <w:rPr>
          <w:rFonts w:ascii="Times New Roman" w:hAnsi="Times New Roman" w:cs="Times New Roman"/>
          <w:color w:val="auto"/>
          <w:lang w:val="en-GB"/>
        </w:rPr>
        <w:t>ainstream characteristics of the approach taken to property rights and their social functions in the assessed countries can be identified</w:t>
      </w:r>
      <w:r w:rsidR="0034723D" w:rsidRPr="000D682E">
        <w:rPr>
          <w:rFonts w:ascii="Times New Roman" w:hAnsi="Times New Roman" w:cs="Times New Roman"/>
          <w:color w:val="auto"/>
          <w:lang w:val="en-GB"/>
        </w:rPr>
        <w:t>.</w:t>
      </w:r>
      <w:r w:rsidR="0075492A" w:rsidRPr="000D682E">
        <w:rPr>
          <w:rFonts w:ascii="Times New Roman" w:hAnsi="Times New Roman" w:cs="Times New Roman"/>
          <w:color w:val="auto"/>
          <w:lang w:val="en-GB"/>
        </w:rPr>
        <w:t xml:space="preserve"> Firstly, protection of private property is conditioned on the fulfilment of social interests</w:t>
      </w:r>
      <w:r w:rsidR="0034723D" w:rsidRPr="000D682E">
        <w:rPr>
          <w:rFonts w:ascii="Times New Roman" w:hAnsi="Times New Roman" w:cs="Times New Roman"/>
          <w:color w:val="auto"/>
          <w:lang w:val="en-GB"/>
        </w:rPr>
        <w:t xml:space="preserve">, which </w:t>
      </w:r>
      <w:r w:rsidR="0075492A" w:rsidRPr="000D682E">
        <w:rPr>
          <w:rFonts w:ascii="Times New Roman" w:hAnsi="Times New Roman" w:cs="Times New Roman"/>
          <w:color w:val="auto"/>
          <w:lang w:val="en-GB"/>
        </w:rPr>
        <w:t>entails a systemic interpretation with fundamental constitutional values, such as the respect for human dignity, for solidarity, and for the prevalence of the general interest. This approach is grounded on the notion that the basic function of public law must be to promote social solidarity.</w:t>
      </w:r>
      <w:r w:rsidR="0075492A" w:rsidRPr="000D682E">
        <w:rPr>
          <w:rStyle w:val="Appeldenote"/>
          <w:rFonts w:ascii="Times New Roman" w:hAnsi="Times New Roman" w:cs="Times New Roman"/>
          <w:color w:val="auto"/>
        </w:rPr>
        <w:footnoteReference w:id="17"/>
      </w:r>
      <w:r w:rsidR="0075492A" w:rsidRPr="000D682E">
        <w:rPr>
          <w:rFonts w:ascii="Times New Roman" w:hAnsi="Times New Roman" w:cs="Times New Roman"/>
          <w:color w:val="auto"/>
          <w:lang w:val="en-GB"/>
        </w:rPr>
        <w:t xml:space="preserve"> </w:t>
      </w:r>
      <w:r w:rsidR="0075492A" w:rsidRPr="000D682E">
        <w:rPr>
          <w:rFonts w:ascii="Times New Roman" w:eastAsia="Times New Roman" w:hAnsi="Times New Roman" w:cs="Times New Roman"/>
          <w:color w:val="auto"/>
          <w:lang w:val="en-GB"/>
        </w:rPr>
        <w:t>Secondly, the conceptualisation of property as having a social function gives rise to positive obligations on states to regulate property rights towards a collective end. The duty of the state goes beyond restraint to include a positive duty to ensure that property fulfils a social function by imposing limitations and restrictions on the scope of property whilst affirming certain classes and functions of property. Thirdly, local authorities at state and at the municipal level are vested with powers to impose limitations and restrictions on private property in order to achieve collective benefits on behalf of public interest. In this context, local authorities acquired the right (and the duty) to interfere with property, through the application of the available legal instruments, where the owner fails to effectively utilise it in the benefit of society.</w:t>
      </w:r>
    </w:p>
    <w:p w:rsidR="00F3368F" w:rsidRPr="000D682E" w:rsidRDefault="00F3368F">
      <w:pPr>
        <w:pStyle w:val="Standard"/>
        <w:spacing w:after="0" w:line="100" w:lineRule="atLeast"/>
        <w:rPr>
          <w:rFonts w:ascii="Times New Roman" w:eastAsia="Times New Roman" w:hAnsi="Times New Roman" w:cs="Times New Roman"/>
          <w:color w:val="auto"/>
          <w:lang w:val="en-GB"/>
        </w:rPr>
      </w:pPr>
    </w:p>
    <w:p w:rsidR="004D6086" w:rsidRPr="000D682E" w:rsidRDefault="004D6086">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 xml:space="preserve">In Latin America the objectives of land reform aiming at the redistribution of land, provision of security of tenure to dwellers and access to other essential needs, such as food, housing and basic services, remained unimplemented, despite the legal and judicial developments that have taken place in a range of countries throughout the region.  About 1.1 billion poor people are landless and almost 200 million do not have sufficient land to provide a decent standard of living.  </w:t>
      </w:r>
      <w:r w:rsidR="00E64107" w:rsidRPr="000D682E">
        <w:rPr>
          <w:rFonts w:ascii="Times New Roman" w:hAnsi="Times New Roman" w:cs="Times New Roman"/>
          <w:color w:val="auto"/>
          <w:lang w:val="en-GB"/>
        </w:rPr>
        <w:t>One of the barriers to universal access to housing and land is the strong protection assigned to private property which allows for resources and assets to be concentrated in the hands of the few to the exclusion of those coming from low-income sectors.</w:t>
      </w:r>
      <w:r w:rsidR="009B6D64" w:rsidRPr="000D682E">
        <w:rPr>
          <w:rFonts w:ascii="Times New Roman" w:hAnsi="Times New Roman" w:cs="Times New Roman"/>
          <w:color w:val="auto"/>
          <w:lang w:val="en-GB"/>
        </w:rPr>
        <w:t xml:space="preserve"> This accrues to </w:t>
      </w:r>
      <w:r w:rsidR="0029144C" w:rsidRPr="000D682E">
        <w:rPr>
          <w:rFonts w:ascii="Times New Roman" w:hAnsi="Times New Roman" w:cs="Times New Roman"/>
          <w:color w:val="auto"/>
          <w:lang w:val="en-GB"/>
        </w:rPr>
        <w:t xml:space="preserve">the </w:t>
      </w:r>
      <w:r w:rsidR="009B6D64" w:rsidRPr="000D682E">
        <w:rPr>
          <w:rFonts w:ascii="Times New Roman" w:hAnsi="Times New Roman" w:cs="Times New Roman"/>
          <w:color w:val="auto"/>
          <w:lang w:val="en-GB"/>
        </w:rPr>
        <w:t>vexing question of law enforcement in a region that has many well-crafted laws, but fall short of implementation.</w:t>
      </w:r>
    </w:p>
    <w:p w:rsidR="00E64107" w:rsidRPr="000D682E" w:rsidRDefault="00E64107" w:rsidP="009765B1">
      <w:pPr>
        <w:pStyle w:val="Standard"/>
        <w:spacing w:after="0" w:line="100" w:lineRule="atLeast"/>
        <w:rPr>
          <w:rFonts w:ascii="Times New Roman" w:hAnsi="Times New Roman" w:cs="Times New Roman"/>
          <w:color w:val="auto"/>
          <w:lang w:val="en-GB"/>
        </w:rPr>
      </w:pPr>
    </w:p>
    <w:p w:rsidR="006F4114" w:rsidRPr="000D682E" w:rsidRDefault="00BD65BD" w:rsidP="00577CF3">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 xml:space="preserve">Although the realisation of fundamental rights through the fulfilment of the social function of property, such as housing, environmental protection and work, is </w:t>
      </w:r>
      <w:r w:rsidR="007D5540" w:rsidRPr="000D682E">
        <w:rPr>
          <w:rFonts w:ascii="Times New Roman" w:hAnsi="Times New Roman" w:cs="Times New Roman"/>
          <w:color w:val="auto"/>
          <w:lang w:val="en-GB"/>
        </w:rPr>
        <w:t xml:space="preserve">provided for </w:t>
      </w:r>
      <w:r w:rsidRPr="000D682E">
        <w:rPr>
          <w:rFonts w:ascii="Times New Roman" w:hAnsi="Times New Roman" w:cs="Times New Roman"/>
          <w:color w:val="auto"/>
          <w:lang w:val="en-GB"/>
        </w:rPr>
        <w:t xml:space="preserve">in the Constitutions, not rarely </w:t>
      </w:r>
      <w:r w:rsidR="007D5540" w:rsidRPr="000D682E">
        <w:rPr>
          <w:rFonts w:ascii="Times New Roman" w:hAnsi="Times New Roman" w:cs="Times New Roman"/>
          <w:color w:val="auto"/>
          <w:lang w:val="en-GB"/>
        </w:rPr>
        <w:t>their norms fall short of</w:t>
      </w:r>
      <w:r w:rsidRPr="000D682E">
        <w:rPr>
          <w:rFonts w:ascii="Times New Roman" w:hAnsi="Times New Roman" w:cs="Times New Roman"/>
          <w:color w:val="auto"/>
          <w:lang w:val="en-GB"/>
        </w:rPr>
        <w:t xml:space="preserve"> </w:t>
      </w:r>
      <w:r w:rsidR="007D5540" w:rsidRPr="000D682E">
        <w:rPr>
          <w:rFonts w:ascii="Times New Roman" w:hAnsi="Times New Roman" w:cs="Times New Roman"/>
          <w:color w:val="auto"/>
          <w:lang w:val="en-GB"/>
        </w:rPr>
        <w:t xml:space="preserve">enforcement. In the case of Brazil, although many municipal master plans have alluded to the social function of property, </w:t>
      </w:r>
      <w:r w:rsidR="000F72EB" w:rsidRPr="000D682E">
        <w:rPr>
          <w:rFonts w:ascii="Times New Roman" w:hAnsi="Times New Roman" w:cs="Times New Roman"/>
          <w:color w:val="auto"/>
          <w:lang w:val="en-GB"/>
        </w:rPr>
        <w:t>the majority has</w:t>
      </w:r>
      <w:r w:rsidR="009E53A7" w:rsidRPr="000D682E">
        <w:rPr>
          <w:rFonts w:ascii="Times New Roman" w:hAnsi="Times New Roman" w:cs="Times New Roman"/>
          <w:color w:val="auto"/>
          <w:lang w:val="en-GB"/>
        </w:rPr>
        <w:t xml:space="preserve"> not cleared stated how it </w:t>
      </w:r>
      <w:r w:rsidR="000F72EB" w:rsidRPr="000D682E">
        <w:rPr>
          <w:rFonts w:ascii="Times New Roman" w:hAnsi="Times New Roman" w:cs="Times New Roman"/>
          <w:color w:val="auto"/>
          <w:lang w:val="en-GB"/>
        </w:rPr>
        <w:t>will</w:t>
      </w:r>
      <w:r w:rsidR="00C9356D" w:rsidRPr="000D682E">
        <w:rPr>
          <w:rFonts w:ascii="Times New Roman" w:hAnsi="Times New Roman" w:cs="Times New Roman"/>
          <w:color w:val="auto"/>
          <w:lang w:val="en-GB"/>
        </w:rPr>
        <w:t xml:space="preserve"> </w:t>
      </w:r>
      <w:r w:rsidR="009E53A7" w:rsidRPr="000D682E">
        <w:rPr>
          <w:rFonts w:ascii="Times New Roman" w:hAnsi="Times New Roman" w:cs="Times New Roman"/>
          <w:color w:val="auto"/>
          <w:lang w:val="en-GB"/>
        </w:rPr>
        <w:t xml:space="preserve">be incorporated into </w:t>
      </w:r>
      <w:r w:rsidR="008A0E14" w:rsidRPr="000D682E">
        <w:rPr>
          <w:rFonts w:ascii="Times New Roman" w:hAnsi="Times New Roman" w:cs="Times New Roman"/>
          <w:color w:val="auto"/>
          <w:lang w:val="en-GB"/>
        </w:rPr>
        <w:t xml:space="preserve">territorial and </w:t>
      </w:r>
      <w:r w:rsidR="009E53A7" w:rsidRPr="000D682E">
        <w:rPr>
          <w:rFonts w:ascii="Times New Roman" w:hAnsi="Times New Roman" w:cs="Times New Roman"/>
          <w:color w:val="auto"/>
          <w:lang w:val="en-GB"/>
        </w:rPr>
        <w:t>urban policies</w:t>
      </w:r>
      <w:r w:rsidR="00C9356D" w:rsidRPr="000D682E">
        <w:rPr>
          <w:rFonts w:ascii="Times New Roman" w:hAnsi="Times New Roman" w:cs="Times New Roman"/>
          <w:color w:val="auto"/>
          <w:lang w:val="en-GB"/>
        </w:rPr>
        <w:t xml:space="preserve"> as to widen access to serviced land to the poor, prevent real estate speculation and </w:t>
      </w:r>
      <w:r w:rsidR="005E33C5" w:rsidRPr="000D682E">
        <w:rPr>
          <w:rFonts w:ascii="Times New Roman" w:hAnsi="Times New Roman" w:cs="Times New Roman"/>
          <w:color w:val="auto"/>
          <w:lang w:val="en-GB"/>
        </w:rPr>
        <w:t xml:space="preserve">induce the social use of vacant </w:t>
      </w:r>
      <w:r w:rsidR="000F72EB" w:rsidRPr="000D682E">
        <w:rPr>
          <w:rFonts w:ascii="Times New Roman" w:hAnsi="Times New Roman" w:cs="Times New Roman"/>
          <w:color w:val="auto"/>
          <w:lang w:val="en-GB"/>
        </w:rPr>
        <w:t>and</w:t>
      </w:r>
      <w:r w:rsidR="005E33C5" w:rsidRPr="000D682E">
        <w:rPr>
          <w:rFonts w:ascii="Times New Roman" w:hAnsi="Times New Roman" w:cs="Times New Roman"/>
          <w:color w:val="auto"/>
          <w:lang w:val="en-GB"/>
        </w:rPr>
        <w:t xml:space="preserve"> underused property.</w:t>
      </w:r>
      <w:r w:rsidR="009B6D64" w:rsidRPr="000D682E">
        <w:rPr>
          <w:rStyle w:val="FootnoteReference"/>
          <w:rFonts w:ascii="Times New Roman" w:hAnsi="Times New Roman" w:cs="Times New Roman"/>
          <w:color w:val="auto"/>
          <w:lang w:val="en-GB"/>
        </w:rPr>
        <w:footnoteReference w:id="18"/>
      </w:r>
      <w:r w:rsidR="005E33C5" w:rsidRPr="000D682E">
        <w:rPr>
          <w:rFonts w:ascii="Times New Roman" w:hAnsi="Times New Roman" w:cs="Times New Roman"/>
          <w:color w:val="auto"/>
          <w:lang w:val="en-GB"/>
        </w:rPr>
        <w:t xml:space="preserve"> </w:t>
      </w:r>
      <w:r w:rsidR="0095006F" w:rsidRPr="000D682E">
        <w:rPr>
          <w:rFonts w:ascii="Times New Roman" w:hAnsi="Times New Roman" w:cs="Times New Roman"/>
          <w:color w:val="auto"/>
          <w:lang w:val="en-GB"/>
        </w:rPr>
        <w:t>They are silent about goals and</w:t>
      </w:r>
      <w:r w:rsidR="000F72EB" w:rsidRPr="000D682E">
        <w:rPr>
          <w:rFonts w:ascii="Times New Roman" w:hAnsi="Times New Roman" w:cs="Times New Roman"/>
          <w:color w:val="auto"/>
          <w:lang w:val="en-GB"/>
        </w:rPr>
        <w:t xml:space="preserve"> timeframes for the approval and implementation</w:t>
      </w:r>
      <w:r w:rsidR="0095006F" w:rsidRPr="000D682E">
        <w:rPr>
          <w:rFonts w:ascii="Times New Roman" w:hAnsi="Times New Roman" w:cs="Times New Roman"/>
          <w:color w:val="auto"/>
          <w:lang w:val="en-GB"/>
        </w:rPr>
        <w:t xml:space="preserve"> of instruments to recover public investments that have led to the valorisation of urban property and to establish compulsory uses or determine forms of occupation of land in certain areas in the city</w:t>
      </w:r>
      <w:r w:rsidR="000F72EB" w:rsidRPr="000D682E">
        <w:rPr>
          <w:rFonts w:ascii="Times New Roman" w:hAnsi="Times New Roman" w:cs="Times New Roman"/>
          <w:color w:val="auto"/>
          <w:lang w:val="en-GB"/>
        </w:rPr>
        <w:t>,</w:t>
      </w:r>
      <w:r w:rsidR="0095006F" w:rsidRPr="000D682E">
        <w:rPr>
          <w:rFonts w:ascii="Times New Roman" w:hAnsi="Times New Roman" w:cs="Times New Roman"/>
          <w:color w:val="auto"/>
          <w:lang w:val="en-GB"/>
        </w:rPr>
        <w:t xml:space="preserve"> to be performed by the owners.</w:t>
      </w:r>
      <w:r w:rsidR="00577CF3" w:rsidRPr="000D682E">
        <w:rPr>
          <w:rFonts w:ascii="Times New Roman" w:hAnsi="Times New Roman" w:cs="Times New Roman"/>
          <w:color w:val="auto"/>
          <w:lang w:val="en-GB"/>
        </w:rPr>
        <w:t xml:space="preserve"> Developers’ obligations are also few and the burden of infrastructure implementation and service provision has fallen largely on the state. </w:t>
      </w:r>
      <w:r w:rsidR="009765B1" w:rsidRPr="000D682E">
        <w:rPr>
          <w:rFonts w:ascii="Times New Roman" w:hAnsi="Times New Roman" w:cs="Times New Roman"/>
          <w:color w:val="auto"/>
          <w:lang w:val="en-GB"/>
        </w:rPr>
        <w:t>Lack of</w:t>
      </w:r>
      <w:r w:rsidR="0053078A" w:rsidRPr="000D682E">
        <w:rPr>
          <w:rFonts w:ascii="Times New Roman" w:hAnsi="Times New Roman" w:cs="Times New Roman"/>
          <w:color w:val="auto"/>
          <w:lang w:val="en-GB"/>
        </w:rPr>
        <w:t xml:space="preserve"> social participation</w:t>
      </w:r>
      <w:r w:rsidR="009765B1" w:rsidRPr="000D682E">
        <w:rPr>
          <w:rFonts w:ascii="Times New Roman" w:hAnsi="Times New Roman" w:cs="Times New Roman"/>
          <w:color w:val="auto"/>
          <w:lang w:val="en-GB"/>
        </w:rPr>
        <w:t xml:space="preserve"> in urban development decision making, commoditization of land and housing driving up the value of the properties, and exclusive urban planning are undermining the concrete application of</w:t>
      </w:r>
      <w:r w:rsidR="00577CF3" w:rsidRPr="000D682E">
        <w:rPr>
          <w:rFonts w:ascii="Times New Roman" w:hAnsi="Times New Roman" w:cs="Times New Roman"/>
          <w:color w:val="auto"/>
          <w:lang w:val="en-GB"/>
        </w:rPr>
        <w:t xml:space="preserve"> social function of property</w:t>
      </w:r>
      <w:r w:rsidR="009765B1" w:rsidRPr="000D682E">
        <w:rPr>
          <w:rFonts w:ascii="Times New Roman" w:hAnsi="Times New Roman" w:cs="Times New Roman"/>
          <w:color w:val="auto"/>
          <w:lang w:val="en-GB"/>
        </w:rPr>
        <w:t xml:space="preserve"> </w:t>
      </w:r>
      <w:r w:rsidR="00CB15FD" w:rsidRPr="000D682E">
        <w:rPr>
          <w:rFonts w:ascii="Times New Roman" w:hAnsi="Times New Roman" w:cs="Times New Roman"/>
          <w:color w:val="auto"/>
          <w:lang w:val="en-GB"/>
        </w:rPr>
        <w:t xml:space="preserve">instruments. </w:t>
      </w:r>
      <w:r w:rsidR="004657C8" w:rsidRPr="000D682E">
        <w:rPr>
          <w:rFonts w:ascii="Times New Roman" w:hAnsi="Times New Roman" w:cs="Times New Roman"/>
          <w:color w:val="auto"/>
          <w:lang w:val="en-GB"/>
        </w:rPr>
        <w:t xml:space="preserve">In 2014, some master plans will be reviewed, such as </w:t>
      </w:r>
      <w:r w:rsidR="006F4114" w:rsidRPr="000D682E">
        <w:rPr>
          <w:rFonts w:ascii="Times New Roman" w:hAnsi="Times New Roman" w:cs="Times New Roman"/>
          <w:color w:val="auto"/>
          <w:lang w:val="en-GB"/>
        </w:rPr>
        <w:t xml:space="preserve">those of </w:t>
      </w:r>
      <w:r w:rsidR="004657C8" w:rsidRPr="000D682E">
        <w:rPr>
          <w:rFonts w:ascii="Times New Roman" w:hAnsi="Times New Roman" w:cs="Times New Roman"/>
          <w:color w:val="auto"/>
          <w:lang w:val="en-GB"/>
        </w:rPr>
        <w:t xml:space="preserve">Curitiba and Sao Paulo, opening up opportunities for civil society to influence changes in urban legislation and policy </w:t>
      </w:r>
      <w:r w:rsidR="006F4114" w:rsidRPr="000D682E">
        <w:rPr>
          <w:rFonts w:ascii="Times New Roman" w:hAnsi="Times New Roman" w:cs="Times New Roman"/>
          <w:color w:val="auto"/>
          <w:lang w:val="en-GB"/>
        </w:rPr>
        <w:t>with a view of implementing the social function of property.</w:t>
      </w:r>
    </w:p>
    <w:p w:rsidR="000F72EB" w:rsidRPr="000D682E" w:rsidRDefault="006F4114" w:rsidP="00577CF3">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 xml:space="preserve"> </w:t>
      </w:r>
    </w:p>
    <w:p w:rsidR="00586A6A" w:rsidRPr="000D682E" w:rsidRDefault="007E476E" w:rsidP="000F72EB">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 xml:space="preserve">In </w:t>
      </w:r>
      <w:r w:rsidR="000F72EB" w:rsidRPr="000D682E">
        <w:rPr>
          <w:rFonts w:ascii="Times New Roman" w:hAnsi="Times New Roman" w:cs="Times New Roman"/>
          <w:color w:val="auto"/>
          <w:lang w:val="en-GB"/>
        </w:rPr>
        <w:t>Colombia, l</w:t>
      </w:r>
      <w:r w:rsidR="001A0AD0" w:rsidRPr="000D682E">
        <w:rPr>
          <w:rFonts w:ascii="Times New Roman" w:hAnsi="Times New Roman" w:cs="Times New Roman"/>
          <w:color w:val="auto"/>
          <w:lang w:val="en-GB"/>
        </w:rPr>
        <w:t xml:space="preserve">and distribution remains highly inequitable, </w:t>
      </w:r>
      <w:r w:rsidR="000F72EB" w:rsidRPr="000D682E">
        <w:rPr>
          <w:rFonts w:ascii="Times New Roman" w:hAnsi="Times New Roman" w:cs="Times New Roman"/>
          <w:color w:val="auto"/>
          <w:lang w:val="en-GB"/>
        </w:rPr>
        <w:t xml:space="preserve">coupled </w:t>
      </w:r>
      <w:r w:rsidR="001A0AD0" w:rsidRPr="000D682E">
        <w:rPr>
          <w:rFonts w:ascii="Times New Roman" w:hAnsi="Times New Roman" w:cs="Times New Roman"/>
          <w:color w:val="auto"/>
          <w:lang w:val="en-GB"/>
        </w:rPr>
        <w:t>million</w:t>
      </w:r>
      <w:r w:rsidR="000F72EB" w:rsidRPr="000D682E">
        <w:rPr>
          <w:rFonts w:ascii="Times New Roman" w:hAnsi="Times New Roman" w:cs="Times New Roman"/>
          <w:color w:val="auto"/>
          <w:lang w:val="en-GB"/>
        </w:rPr>
        <w:t>s</w:t>
      </w:r>
      <w:r w:rsidR="001A0AD0" w:rsidRPr="000D682E">
        <w:rPr>
          <w:rFonts w:ascii="Times New Roman" w:hAnsi="Times New Roman" w:cs="Times New Roman"/>
          <w:color w:val="auto"/>
          <w:lang w:val="en-GB"/>
        </w:rPr>
        <w:t xml:space="preserve"> </w:t>
      </w:r>
      <w:r w:rsidR="00F801E2" w:rsidRPr="000D682E">
        <w:rPr>
          <w:rFonts w:ascii="Times New Roman" w:hAnsi="Times New Roman" w:cs="Times New Roman"/>
          <w:color w:val="auto"/>
          <w:lang w:val="en-GB"/>
        </w:rPr>
        <w:t xml:space="preserve">of </w:t>
      </w:r>
      <w:r w:rsidR="00840C72" w:rsidRPr="000D682E">
        <w:rPr>
          <w:rFonts w:ascii="Times New Roman" w:hAnsi="Times New Roman" w:cs="Times New Roman"/>
          <w:color w:val="auto"/>
          <w:lang w:val="en-GB"/>
        </w:rPr>
        <w:t xml:space="preserve">Internally Displaced </w:t>
      </w:r>
      <w:r w:rsidR="001A0AD0" w:rsidRPr="000D682E">
        <w:rPr>
          <w:rFonts w:ascii="Times New Roman" w:hAnsi="Times New Roman" w:cs="Times New Roman"/>
          <w:color w:val="auto"/>
          <w:lang w:val="en-GB"/>
        </w:rPr>
        <w:t>Persons</w:t>
      </w:r>
      <w:r w:rsidR="00840C72" w:rsidRPr="000D682E">
        <w:rPr>
          <w:rFonts w:ascii="Times New Roman" w:hAnsi="Times New Roman" w:cs="Times New Roman"/>
          <w:color w:val="auto"/>
          <w:lang w:val="en-GB"/>
        </w:rPr>
        <w:t xml:space="preserve"> whose</w:t>
      </w:r>
      <w:r w:rsidR="000F72EB" w:rsidRPr="000D682E">
        <w:rPr>
          <w:rFonts w:ascii="Times New Roman" w:hAnsi="Times New Roman" w:cs="Times New Roman"/>
          <w:color w:val="auto"/>
          <w:lang w:val="en-GB"/>
        </w:rPr>
        <w:t xml:space="preserve"> majority lacks </w:t>
      </w:r>
      <w:r w:rsidR="001A0AD0" w:rsidRPr="000D682E">
        <w:rPr>
          <w:rFonts w:ascii="Times New Roman" w:hAnsi="Times New Roman" w:cs="Times New Roman"/>
          <w:color w:val="auto"/>
          <w:lang w:val="en-GB"/>
        </w:rPr>
        <w:t xml:space="preserve">tenure </w:t>
      </w:r>
      <w:r w:rsidR="000F72EB" w:rsidRPr="000D682E">
        <w:rPr>
          <w:rFonts w:ascii="Times New Roman" w:hAnsi="Times New Roman" w:cs="Times New Roman"/>
          <w:color w:val="auto"/>
          <w:lang w:val="en-GB"/>
        </w:rPr>
        <w:t>security and connection</w:t>
      </w:r>
      <w:r w:rsidR="001A0AD0" w:rsidRPr="000D682E">
        <w:rPr>
          <w:rFonts w:ascii="Times New Roman" w:hAnsi="Times New Roman" w:cs="Times New Roman"/>
          <w:color w:val="auto"/>
          <w:lang w:val="en-GB"/>
        </w:rPr>
        <w:t xml:space="preserve"> to basic services and employment opportunities. </w:t>
      </w:r>
      <w:r w:rsidR="00840C72" w:rsidRPr="000D682E">
        <w:rPr>
          <w:rFonts w:ascii="Times New Roman" w:hAnsi="Times New Roman" w:cs="Times New Roman"/>
          <w:color w:val="auto"/>
          <w:lang w:val="en-GB"/>
        </w:rPr>
        <w:t xml:space="preserve">The retention of vacant or underused lands located in well-serviced areas for speculation is one of major policy issues facing municipal governments intending to implement land regularisation and social housing programmes. Since </w:t>
      </w:r>
      <w:r w:rsidR="001B05BD" w:rsidRPr="000D682E">
        <w:rPr>
          <w:rFonts w:ascii="Times New Roman" w:hAnsi="Times New Roman" w:cs="Times New Roman"/>
          <w:color w:val="auto"/>
          <w:lang w:val="en-GB"/>
        </w:rPr>
        <w:t xml:space="preserve">2008 the city government of Bogotá </w:t>
      </w:r>
      <w:r w:rsidR="00840C72" w:rsidRPr="000D682E">
        <w:rPr>
          <w:rFonts w:ascii="Times New Roman" w:hAnsi="Times New Roman" w:cs="Times New Roman"/>
          <w:color w:val="auto"/>
          <w:lang w:val="en-GB"/>
        </w:rPr>
        <w:t>has been implementing</w:t>
      </w:r>
      <w:r w:rsidR="001B05BD" w:rsidRPr="000D682E">
        <w:rPr>
          <w:rFonts w:ascii="Times New Roman" w:hAnsi="Times New Roman" w:cs="Times New Roman"/>
          <w:color w:val="auto"/>
          <w:lang w:val="en-GB"/>
        </w:rPr>
        <w:t xml:space="preserve"> the Declaration of Priorit</w:t>
      </w:r>
      <w:r w:rsidR="00586A6A" w:rsidRPr="000D682E">
        <w:rPr>
          <w:rFonts w:ascii="Times New Roman" w:hAnsi="Times New Roman" w:cs="Times New Roman"/>
          <w:color w:val="auto"/>
          <w:lang w:val="en-GB"/>
        </w:rPr>
        <w:t>y Development (</w:t>
      </w:r>
      <w:r w:rsidR="00586A6A" w:rsidRPr="000D682E">
        <w:rPr>
          <w:rFonts w:ascii="Times New Roman" w:hAnsi="Times New Roman" w:cs="Times New Roman"/>
          <w:i/>
          <w:color w:val="auto"/>
          <w:lang w:val="en-GB"/>
        </w:rPr>
        <w:t>Declaratoria de Desarrollo P</w:t>
      </w:r>
      <w:r w:rsidR="001B05BD" w:rsidRPr="000D682E">
        <w:rPr>
          <w:rFonts w:ascii="Times New Roman" w:hAnsi="Times New Roman" w:cs="Times New Roman"/>
          <w:i/>
          <w:color w:val="auto"/>
          <w:lang w:val="en-GB"/>
        </w:rPr>
        <w:t>rioritario</w:t>
      </w:r>
      <w:r w:rsidR="001B05BD" w:rsidRPr="000D682E">
        <w:rPr>
          <w:rFonts w:ascii="Times New Roman" w:hAnsi="Times New Roman" w:cs="Times New Roman"/>
          <w:color w:val="auto"/>
          <w:lang w:val="en-GB"/>
        </w:rPr>
        <w:t>)</w:t>
      </w:r>
      <w:r w:rsidR="00586A6A" w:rsidRPr="000D682E">
        <w:rPr>
          <w:rFonts w:ascii="Times New Roman" w:hAnsi="Times New Roman" w:cs="Times New Roman"/>
          <w:color w:val="auto"/>
          <w:lang w:val="en-GB"/>
        </w:rPr>
        <w:t>, an</w:t>
      </w:r>
      <w:r w:rsidR="00840C72" w:rsidRPr="000D682E">
        <w:rPr>
          <w:rFonts w:ascii="Times New Roman" w:hAnsi="Times New Roman" w:cs="Times New Roman"/>
          <w:color w:val="auto"/>
          <w:lang w:val="en-GB"/>
        </w:rPr>
        <w:t xml:space="preserve"> instrument</w:t>
      </w:r>
      <w:r w:rsidR="001B05BD" w:rsidRPr="000D682E">
        <w:rPr>
          <w:rFonts w:ascii="Times New Roman" w:hAnsi="Times New Roman" w:cs="Times New Roman"/>
          <w:color w:val="auto"/>
          <w:lang w:val="en-GB"/>
        </w:rPr>
        <w:t xml:space="preserve"> intended to produce serviced land for housing</w:t>
      </w:r>
      <w:r w:rsidR="00586A6A" w:rsidRPr="000D682E">
        <w:rPr>
          <w:rFonts w:ascii="Times New Roman" w:hAnsi="Times New Roman" w:cs="Times New Roman"/>
          <w:color w:val="auto"/>
          <w:lang w:val="en-GB"/>
        </w:rPr>
        <w:t xml:space="preserve"> through forcible sale by auction of vacant or underused properties</w:t>
      </w:r>
      <w:r w:rsidR="001B05BD" w:rsidRPr="000D682E">
        <w:rPr>
          <w:rFonts w:ascii="Times New Roman" w:hAnsi="Times New Roman" w:cs="Times New Roman"/>
          <w:color w:val="auto"/>
          <w:lang w:val="en-GB"/>
        </w:rPr>
        <w:t xml:space="preserve">. </w:t>
      </w:r>
    </w:p>
    <w:p w:rsidR="001A0AD0" w:rsidRPr="000D682E" w:rsidRDefault="00AB0583" w:rsidP="00F801E2">
      <w:pPr>
        <w:pStyle w:val="Standard"/>
        <w:spacing w:after="0" w:line="100" w:lineRule="atLeast"/>
        <w:rPr>
          <w:rFonts w:ascii="Times New Roman" w:hAnsi="Times New Roman" w:cs="Times New Roman"/>
          <w:color w:val="auto"/>
          <w:lang w:val="en-GB"/>
        </w:rPr>
      </w:pPr>
      <w:r w:rsidRPr="000D682E">
        <w:rPr>
          <w:rFonts w:ascii="Times New Roman" w:hAnsi="Times New Roman" w:cs="Times New Roman"/>
          <w:color w:val="auto"/>
          <w:lang w:val="en-GB"/>
        </w:rPr>
        <w:t>A social use for housing purposes is attached to properties</w:t>
      </w:r>
      <w:r w:rsidR="00586A6A" w:rsidRPr="000D682E">
        <w:rPr>
          <w:rFonts w:ascii="Times New Roman" w:hAnsi="Times New Roman" w:cs="Times New Roman"/>
          <w:color w:val="auto"/>
          <w:lang w:val="en-GB"/>
        </w:rPr>
        <w:t xml:space="preserve"> </w:t>
      </w:r>
      <w:r w:rsidRPr="000D682E">
        <w:rPr>
          <w:rFonts w:ascii="Times New Roman" w:hAnsi="Times New Roman" w:cs="Times New Roman"/>
          <w:color w:val="auto"/>
          <w:lang w:val="en-GB"/>
        </w:rPr>
        <w:t xml:space="preserve">sold </w:t>
      </w:r>
      <w:r w:rsidR="00586A6A" w:rsidRPr="000D682E">
        <w:rPr>
          <w:rFonts w:ascii="Times New Roman" w:hAnsi="Times New Roman" w:cs="Times New Roman"/>
          <w:color w:val="auto"/>
          <w:lang w:val="en-GB"/>
        </w:rPr>
        <w:t>through auction</w:t>
      </w:r>
      <w:r w:rsidRPr="000D682E">
        <w:rPr>
          <w:rFonts w:ascii="Times New Roman" w:hAnsi="Times New Roman" w:cs="Times New Roman"/>
          <w:color w:val="auto"/>
          <w:lang w:val="en-GB"/>
        </w:rPr>
        <w:t xml:space="preserve">, in order to induce the production of social housing. </w:t>
      </w:r>
      <w:r w:rsidR="00B07189" w:rsidRPr="000D682E">
        <w:rPr>
          <w:rFonts w:ascii="Times New Roman" w:hAnsi="Times New Roman" w:cs="Times New Roman"/>
          <w:color w:val="auto"/>
          <w:lang w:val="en-GB"/>
        </w:rPr>
        <w:t>In regard</w:t>
      </w:r>
      <w:r w:rsidR="00F801E2" w:rsidRPr="000D682E">
        <w:rPr>
          <w:rFonts w:ascii="Times New Roman" w:hAnsi="Times New Roman" w:cs="Times New Roman"/>
          <w:color w:val="auto"/>
          <w:lang w:val="en-GB"/>
        </w:rPr>
        <w:t xml:space="preserve"> to developers’ obligations towards the social function of property, the Constitutional Court of Colombia has supported the application of Law n. 9 of 1989 which imposes a duty on private developers to assign a certain portion of land for the installation of social housing, public services, parks or other features of collective use. </w:t>
      </w:r>
      <w:r w:rsidR="0029144C" w:rsidRPr="000D682E">
        <w:rPr>
          <w:rFonts w:ascii="Times New Roman" w:hAnsi="Times New Roman" w:cs="Times New Roman"/>
          <w:color w:val="auto"/>
          <w:lang w:val="en-GB"/>
        </w:rPr>
        <w:t xml:space="preserve">Under the social function of property concept, non-exercise of possession may also be a justification for termination of property rights. </w:t>
      </w:r>
      <w:r w:rsidR="00F801E2" w:rsidRPr="000D682E">
        <w:rPr>
          <w:rFonts w:ascii="Times New Roman" w:hAnsi="Times New Roman" w:cs="Times New Roman"/>
          <w:color w:val="auto"/>
          <w:lang w:val="en-GB"/>
        </w:rPr>
        <w:t>Although Colombia passed regulations reinforcing the protection of collective tenure rights over urban informal settlements, t</w:t>
      </w:r>
      <w:r w:rsidR="001A0AD0" w:rsidRPr="000D682E">
        <w:rPr>
          <w:rFonts w:ascii="Times New Roman" w:hAnsi="Times New Roman" w:cs="Times New Roman"/>
          <w:color w:val="auto"/>
          <w:lang w:val="en-GB"/>
        </w:rPr>
        <w:t>he legal framework for adverse possession could also be explored as a tool for formalizing land rights of urban settlers.</w:t>
      </w:r>
    </w:p>
    <w:p w:rsidR="00197D8A" w:rsidRPr="000D682E" w:rsidRDefault="00197D8A" w:rsidP="00577CF3">
      <w:pPr>
        <w:pStyle w:val="Standard"/>
        <w:spacing w:after="0" w:line="100" w:lineRule="atLeast"/>
        <w:rPr>
          <w:rFonts w:ascii="Times New Roman" w:hAnsi="Times New Roman" w:cs="Times New Roman"/>
          <w:color w:val="auto"/>
          <w:lang w:val="en-GB"/>
        </w:rPr>
      </w:pPr>
    </w:p>
    <w:p w:rsidR="002C2721" w:rsidRPr="000D682E" w:rsidRDefault="0075492A">
      <w:pPr>
        <w:pStyle w:val="Standard"/>
        <w:spacing w:after="0" w:line="100" w:lineRule="atLeast"/>
        <w:rPr>
          <w:rFonts w:ascii="Times New Roman" w:hAnsi="Times New Roman" w:cs="Times New Roman"/>
          <w:color w:val="auto"/>
        </w:rPr>
      </w:pPr>
      <w:r w:rsidRPr="000D682E">
        <w:rPr>
          <w:rFonts w:ascii="Times New Roman" w:hAnsi="Times New Roman" w:cs="Times New Roman"/>
          <w:b/>
          <w:color w:val="auto"/>
          <w:lang w:val="en-GB"/>
        </w:rPr>
        <w:t>Conclusion</w:t>
      </w:r>
    </w:p>
    <w:p w:rsidR="002C2721" w:rsidRPr="000D682E" w:rsidRDefault="002C2721">
      <w:pPr>
        <w:pStyle w:val="Standard"/>
        <w:spacing w:after="0" w:line="100" w:lineRule="atLeast"/>
        <w:rPr>
          <w:rFonts w:ascii="Times New Roman" w:hAnsi="Times New Roman" w:cs="Times New Roman"/>
          <w:color w:val="auto"/>
        </w:rPr>
      </w:pPr>
    </w:p>
    <w:p w:rsidR="002C2721" w:rsidRPr="000D682E" w:rsidRDefault="00D24B9B">
      <w:pPr>
        <w:pStyle w:val="Standard"/>
        <w:spacing w:after="0" w:line="100" w:lineRule="atLeast"/>
        <w:rPr>
          <w:rFonts w:ascii="Times New Roman" w:hAnsi="Times New Roman" w:cs="Times New Roman"/>
          <w:color w:val="auto"/>
        </w:rPr>
      </w:pPr>
      <w:r w:rsidRPr="000D682E">
        <w:rPr>
          <w:rFonts w:ascii="Times New Roman" w:eastAsia="Times New Roman" w:hAnsi="Times New Roman" w:cs="Times New Roman"/>
          <w:color w:val="auto"/>
          <w:lang w:val="en-GB"/>
        </w:rPr>
        <w:t>The</w:t>
      </w:r>
      <w:r w:rsidR="0075492A" w:rsidRPr="000D682E">
        <w:rPr>
          <w:rFonts w:ascii="Times New Roman" w:eastAsia="Times New Roman" w:hAnsi="Times New Roman" w:cs="Times New Roman"/>
          <w:color w:val="auto"/>
          <w:lang w:val="en-GB"/>
        </w:rPr>
        <w:t xml:space="preserve"> social function of property is more than a limitation to the right to property as it affects not only its exercise but also the right to property itself. The transformations of the institution of property were not restricted to the reduction of the powers of the owner or the volume of property rights </w:t>
      </w:r>
      <w:r w:rsidR="0075492A" w:rsidRPr="000D682E">
        <w:rPr>
          <w:rFonts w:ascii="Times New Roman" w:eastAsia="Times New Roman" w:hAnsi="Times New Roman" w:cs="Times New Roman"/>
          <w:i/>
          <w:color w:val="auto"/>
          <w:lang w:val="en-GB"/>
        </w:rPr>
        <w:t>vis-à-vis</w:t>
      </w:r>
      <w:r w:rsidR="0075492A" w:rsidRPr="000D682E">
        <w:rPr>
          <w:rFonts w:ascii="Times New Roman" w:eastAsia="Times New Roman" w:hAnsi="Times New Roman" w:cs="Times New Roman"/>
          <w:color w:val="auto"/>
          <w:lang w:val="en-GB"/>
        </w:rPr>
        <w:t xml:space="preserve"> to legal limitations. The social function was consolidated into a general principle that dominated the new role of ownership, which is reflected in its structure and content. The social function became the foundation and justification of the owner’s powers over the domain of his property; that is to say a means to control the exercise of the subjective right to property.</w:t>
      </w:r>
      <w:r w:rsidR="0075492A" w:rsidRPr="000D682E">
        <w:rPr>
          <w:rStyle w:val="Appeldenote"/>
          <w:rFonts w:ascii="Times New Roman" w:hAnsi="Times New Roman" w:cs="Times New Roman"/>
          <w:color w:val="auto"/>
        </w:rPr>
        <w:footnoteReference w:id="19"/>
      </w:r>
      <w:r w:rsidR="0075492A" w:rsidRPr="000D682E">
        <w:rPr>
          <w:rFonts w:ascii="Times New Roman" w:eastAsia="Times New Roman" w:hAnsi="Times New Roman" w:cs="Times New Roman"/>
          <w:color w:val="auto"/>
          <w:lang w:val="en-GB"/>
        </w:rPr>
        <w:t xml:space="preserve"> </w:t>
      </w:r>
      <w:r w:rsidR="00E41461" w:rsidRPr="000D682E">
        <w:rPr>
          <w:rFonts w:ascii="Times New Roman" w:hAnsi="Times New Roman" w:cs="Times New Roman"/>
          <w:color w:val="auto"/>
          <w:lang w:val="en-GB"/>
        </w:rPr>
        <w:t>T</w:t>
      </w:r>
      <w:r w:rsidR="0075492A" w:rsidRPr="000D682E">
        <w:rPr>
          <w:rFonts w:ascii="Times New Roman" w:hAnsi="Times New Roman" w:cs="Times New Roman"/>
          <w:color w:val="auto"/>
          <w:lang w:val="en-GB"/>
        </w:rPr>
        <w:t>he right to property in its liberal sense is significantly modified by the social function approach which transforms the core elements of the traditional understanding of ownership. In transforming the structure of the right to property, the social function shapes the rights and duties of the owner and the role of property for the development of society. The ‘social interest’, as a lawful limitation to the right to property, means the social function of property contributes to the rea</w:t>
      </w:r>
      <w:r w:rsidR="00E41461" w:rsidRPr="000D682E">
        <w:rPr>
          <w:rFonts w:ascii="Times New Roman" w:hAnsi="Times New Roman" w:cs="Times New Roman"/>
          <w:color w:val="auto"/>
          <w:lang w:val="en-GB"/>
        </w:rPr>
        <w:t>lisation of other social rights.</w:t>
      </w:r>
      <w:r w:rsidR="0075492A" w:rsidRPr="000D682E">
        <w:rPr>
          <w:rFonts w:ascii="Times New Roman" w:hAnsi="Times New Roman" w:cs="Times New Roman"/>
          <w:color w:val="auto"/>
          <w:lang w:val="en-GB"/>
        </w:rPr>
        <w:t xml:space="preserve"> </w:t>
      </w:r>
    </w:p>
    <w:p w:rsidR="002C2721" w:rsidRPr="00D14B75" w:rsidRDefault="008F7815">
      <w:pPr>
        <w:pStyle w:val="Standard"/>
        <w:spacing w:after="0" w:line="100" w:lineRule="atLeast"/>
        <w:rPr>
          <w:rFonts w:ascii="Times New Roman" w:hAnsi="Times New Roman" w:cs="Times New Roman"/>
          <w:b/>
          <w:lang w:val="en-GB"/>
        </w:rPr>
      </w:pPr>
      <w:r w:rsidRPr="00D14B75">
        <w:rPr>
          <w:rFonts w:ascii="Times New Roman" w:hAnsi="Times New Roman" w:cs="Times New Roman"/>
          <w:b/>
          <w:lang w:val="en-GB"/>
        </w:rPr>
        <w:t>Bibliography</w:t>
      </w:r>
    </w:p>
    <w:p w:rsidR="008F7815" w:rsidRPr="00D14B75" w:rsidRDefault="008F7815">
      <w:pPr>
        <w:pStyle w:val="Standard"/>
        <w:spacing w:after="0" w:line="100" w:lineRule="atLeast"/>
        <w:rPr>
          <w:rFonts w:ascii="Times New Roman" w:hAnsi="Times New Roman" w:cs="Times New Roman"/>
          <w:lang w:val="en-GB"/>
        </w:rPr>
      </w:pPr>
    </w:p>
    <w:p w:rsidR="008F7815" w:rsidRPr="00D14B75" w:rsidRDefault="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A Azuela and M Cancino, Los Asentamientos Humanos y la Mirada Parcial del Constitucionalismo Mexicano (Mimeo, Mexico DF n.d.)</w:t>
      </w:r>
    </w:p>
    <w:p w:rsidR="008F7815" w:rsidRPr="00D14B75" w:rsidRDefault="008F7815">
      <w:pPr>
        <w:pStyle w:val="Standard"/>
        <w:spacing w:after="0" w:line="100" w:lineRule="atLeast"/>
        <w:rPr>
          <w:rFonts w:ascii="Times New Roman" w:hAnsi="Times New Roman" w:cs="Times New Roman"/>
          <w:lang w:val="en-GB"/>
        </w:rPr>
      </w:pPr>
    </w:p>
    <w:p w:rsidR="008F7815" w:rsidRPr="00D14B75" w:rsidRDefault="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A Posada and R Jaen (trs), L Duguit, Las Transformaciones del Derecho Público y Privado (Editora Comares S.L., Granada 2007)</w:t>
      </w:r>
    </w:p>
    <w:p w:rsidR="008F7815" w:rsidRPr="00D14B75" w:rsidRDefault="008F7815">
      <w:pPr>
        <w:pStyle w:val="Standard"/>
        <w:spacing w:after="0" w:line="100" w:lineRule="atLeast"/>
        <w:rPr>
          <w:rFonts w:ascii="Times New Roman" w:hAnsi="Times New Roman" w:cs="Times New Roman"/>
          <w:lang w:val="en-GB"/>
        </w:rPr>
      </w:pPr>
    </w:p>
    <w:p w:rsidR="008F7815" w:rsidRPr="00D14B75" w:rsidRDefault="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E Fernandes and M Maldonado, ‘Law and Land Policy in Latin America: Shifting Paradigms and Possibilities for Action’ (July 2009) Landlines (Lincoln Institute of Land Policy)</w:t>
      </w:r>
    </w:p>
    <w:p w:rsidR="008F7815" w:rsidRPr="00D14B75" w:rsidRDefault="008F7815">
      <w:pPr>
        <w:pStyle w:val="Standard"/>
        <w:spacing w:after="0" w:line="100" w:lineRule="atLeast"/>
        <w:rPr>
          <w:rFonts w:ascii="Times New Roman" w:hAnsi="Times New Roman" w:cs="Times New Roman"/>
          <w:lang w:val="en-GB"/>
        </w:rPr>
      </w:pPr>
    </w:p>
    <w:p w:rsidR="008F7815" w:rsidRPr="00D14B75" w:rsidRDefault="008F7815" w:rsidP="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JT Alfonsin, O Acesso à Terra como Conteúdo de Direitos Humanos Fundamentais: a Alimentação e a Moradia (Sergio Antonio Fabris Editor, Porto Alegre 2003)</w:t>
      </w:r>
    </w:p>
    <w:p w:rsidR="008F7815" w:rsidRPr="00D14B75" w:rsidRDefault="008F7815" w:rsidP="008F7815">
      <w:pPr>
        <w:pStyle w:val="Standard"/>
        <w:spacing w:after="0" w:line="100" w:lineRule="atLeast"/>
        <w:rPr>
          <w:rFonts w:ascii="Times New Roman" w:hAnsi="Times New Roman" w:cs="Times New Roman"/>
          <w:lang w:val="en-GB"/>
        </w:rPr>
      </w:pPr>
    </w:p>
    <w:p w:rsidR="008F7815" w:rsidRPr="00D14B75" w:rsidRDefault="008F7815" w:rsidP="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T Ankersen and T Ruppert, ‘Tierra y Libertad: the Social Function Doctrine and Land Reform in Latin America’ (2006) 19 Tulane Envtironmental Law Jouranl 69</w:t>
      </w:r>
    </w:p>
    <w:p w:rsidR="008F7815" w:rsidRPr="00D14B75" w:rsidRDefault="008F7815" w:rsidP="008F7815">
      <w:pPr>
        <w:pStyle w:val="Standard"/>
        <w:spacing w:after="0" w:line="100" w:lineRule="atLeast"/>
        <w:rPr>
          <w:rFonts w:ascii="Times New Roman" w:hAnsi="Times New Roman" w:cs="Times New Roman"/>
          <w:lang w:val="en-GB"/>
        </w:rPr>
      </w:pPr>
    </w:p>
    <w:p w:rsidR="008F7815" w:rsidRPr="00D14B75" w:rsidRDefault="008F7815" w:rsidP="008F7815">
      <w:pPr>
        <w:pStyle w:val="Standard"/>
        <w:spacing w:after="0" w:line="100" w:lineRule="atLeast"/>
        <w:rPr>
          <w:rFonts w:ascii="Times New Roman" w:hAnsi="Times New Roman" w:cs="Times New Roman"/>
          <w:lang w:val="en-GB"/>
        </w:rPr>
      </w:pPr>
      <w:r w:rsidRPr="00D14B75">
        <w:rPr>
          <w:rFonts w:ascii="Times New Roman" w:hAnsi="Times New Roman" w:cs="Times New Roman"/>
          <w:lang w:val="en-GB"/>
        </w:rPr>
        <w:t>L Osorio (ed), Estauto da Cidade e Reforma Urbana: Novas Perspectivas para as Cidades Brasileiras (Sergio Antonio Fabris, Porto Alegre 2002)</w:t>
      </w:r>
    </w:p>
    <w:p w:rsidR="008F7815" w:rsidRPr="00D14B75" w:rsidRDefault="008F7815">
      <w:pPr>
        <w:pStyle w:val="Standard"/>
        <w:spacing w:after="0" w:line="100" w:lineRule="atLeast"/>
        <w:rPr>
          <w:rFonts w:ascii="Times New Roman" w:hAnsi="Times New Roman" w:cs="Times New Roman"/>
        </w:rPr>
      </w:pPr>
    </w:p>
    <w:sectPr w:rsidR="008F7815" w:rsidRPr="00D14B75" w:rsidSect="00E41461">
      <w:headerReference w:type="default" r:id="rId8"/>
      <w:pgSz w:w="11906" w:h="16838" w:code="9"/>
      <w:pgMar w:top="1304" w:right="1304" w:bottom="1134" w:left="1304" w:header="68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42" w:rsidRDefault="00706E42">
      <w:pPr>
        <w:spacing w:after="0" w:line="240" w:lineRule="auto"/>
      </w:pPr>
      <w:r>
        <w:separator/>
      </w:r>
    </w:p>
  </w:endnote>
  <w:endnote w:type="continuationSeparator" w:id="0">
    <w:p w:rsidR="00706E42" w:rsidRDefault="0070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Zen 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42" w:rsidRDefault="00706E42">
      <w:r>
        <w:separator/>
      </w:r>
    </w:p>
  </w:footnote>
  <w:footnote w:type="continuationSeparator" w:id="0">
    <w:p w:rsidR="00706E42" w:rsidRDefault="00706E42">
      <w:r>
        <w:continuationSeparator/>
      </w:r>
    </w:p>
  </w:footnote>
  <w:footnote w:id="1">
    <w:p w:rsidR="002C2721" w:rsidRPr="000D682E" w:rsidRDefault="0075492A" w:rsidP="000D682E">
      <w:pPr>
        <w:pStyle w:val="Standard"/>
        <w:spacing w:after="0" w:line="100" w:lineRule="atLeast"/>
        <w:jc w:val="both"/>
        <w:rPr>
          <w:rFonts w:ascii="Times New Roman" w:hAnsi="Times New Roman" w:cs="Times New Roman"/>
        </w:rPr>
      </w:pPr>
      <w:r w:rsidRPr="000D682E">
        <w:rPr>
          <w:rStyle w:val="FootnoteReference"/>
          <w:rFonts w:ascii="Times New Roman" w:hAnsi="Times New Roman" w:cs="Times New Roman"/>
          <w:sz w:val="18"/>
          <w:szCs w:val="18"/>
        </w:rPr>
        <w:footnoteRef/>
      </w:r>
      <w:r w:rsidR="00E41461" w:rsidRPr="000D682E">
        <w:rPr>
          <w:rStyle w:val="FootnoteReference"/>
          <w:rFonts w:ascii="Times New Roman" w:hAnsi="Times New Roman" w:cs="Times New Roman"/>
          <w:sz w:val="18"/>
          <w:szCs w:val="18"/>
        </w:rPr>
        <w:tab/>
      </w:r>
      <w:r w:rsidRPr="000D682E">
        <w:rPr>
          <w:rFonts w:ascii="Times New Roman" w:hAnsi="Times New Roman" w:cs="Times New Roman"/>
          <w:sz w:val="18"/>
          <w:szCs w:val="18"/>
        </w:rPr>
        <w:t>M Benschop</w:t>
      </w:r>
      <w:r w:rsidRPr="000D682E">
        <w:rPr>
          <w:rFonts w:ascii="Times New Roman" w:hAnsi="Times New Roman" w:cs="Times New Roman"/>
          <w:bCs/>
          <w:sz w:val="18"/>
          <w:szCs w:val="18"/>
        </w:rPr>
        <w:t xml:space="preserve">, L Osorio </w:t>
      </w:r>
      <w:r w:rsidRPr="000D682E">
        <w:rPr>
          <w:rFonts w:ascii="Times New Roman" w:hAnsi="Times New Roman" w:cs="Times New Roman"/>
          <w:sz w:val="18"/>
          <w:szCs w:val="18"/>
        </w:rPr>
        <w:t>and E Zamora</w:t>
      </w:r>
      <w:r w:rsidRPr="000D682E">
        <w:rPr>
          <w:rFonts w:ascii="Times New Roman" w:hAnsi="Times New Roman" w:cs="Times New Roman"/>
          <w:bCs/>
          <w:sz w:val="18"/>
          <w:szCs w:val="18"/>
        </w:rPr>
        <w:t xml:space="preserve">, </w:t>
      </w:r>
      <w:r w:rsidRPr="000D682E">
        <w:rPr>
          <w:rFonts w:ascii="Times New Roman" w:hAnsi="Times New Roman" w:cs="Times New Roman"/>
          <w:bCs/>
          <w:i/>
          <w:sz w:val="18"/>
          <w:szCs w:val="18"/>
        </w:rPr>
        <w:t>Law, Land Tenure and Gender Review Series: Latin America</w:t>
      </w:r>
      <w:r w:rsidRPr="000D682E">
        <w:rPr>
          <w:rFonts w:ascii="Times New Roman" w:hAnsi="Times New Roman" w:cs="Times New Roman"/>
          <w:bCs/>
          <w:sz w:val="18"/>
          <w:szCs w:val="18"/>
        </w:rPr>
        <w:t xml:space="preserve"> (2005) </w:t>
      </w:r>
      <w:r w:rsidRPr="000D682E">
        <w:rPr>
          <w:rFonts w:ascii="Times New Roman" w:hAnsi="Times New Roman" w:cs="Times New Roman"/>
          <w:sz w:val="18"/>
          <w:szCs w:val="18"/>
        </w:rPr>
        <w:t xml:space="preserve">United Nations Human Settlements Programme (UN Habitat) 5-6. </w:t>
      </w:r>
    </w:p>
  </w:footnote>
  <w:footnote w:id="2">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T Ankersen and T Ruppert, ‘Tierra y Libertad: The Social Function Doctrine and Land Reform in Latin America’ (2006) 19 Tul Envtl LJ 69, 70.</w:t>
      </w:r>
    </w:p>
  </w:footnote>
  <w:footnote w:id="3">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This is the case, for instance, of the 1988 Brazilian Constitution, the 1991 Colombian Constitution, the </w:t>
      </w:r>
      <w:r w:rsidR="00A56532" w:rsidRPr="000D682E">
        <w:rPr>
          <w:sz w:val="18"/>
          <w:szCs w:val="18"/>
        </w:rPr>
        <w:t xml:space="preserve">1982 Constitution of Honduras, </w:t>
      </w:r>
      <w:r w:rsidRPr="000D682E">
        <w:rPr>
          <w:sz w:val="18"/>
          <w:szCs w:val="18"/>
        </w:rPr>
        <w:t>the 1987 Constitution of Nicaragua  and the 1999 Venezuelan Constitution.</w:t>
      </w:r>
    </w:p>
  </w:footnote>
  <w:footnote w:id="4">
    <w:p w:rsidR="00464E8A" w:rsidRPr="000D682E" w:rsidRDefault="00464E8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es-ES"/>
        </w:rPr>
        <w:t xml:space="preserve">A Posada and R Jaen (trs), L Duguit, </w:t>
      </w:r>
      <w:r w:rsidRPr="000D682E">
        <w:rPr>
          <w:i/>
          <w:sz w:val="18"/>
          <w:szCs w:val="18"/>
          <w:lang w:val="es-ES"/>
        </w:rPr>
        <w:t xml:space="preserve">Las Transformaciones del Derecho Público y Privado </w:t>
      </w:r>
      <w:r w:rsidRPr="000D682E">
        <w:rPr>
          <w:sz w:val="18"/>
          <w:szCs w:val="18"/>
          <w:lang w:val="es-ES"/>
        </w:rPr>
        <w:t>(Editora C</w:t>
      </w:r>
      <w:r w:rsidR="00627AFF" w:rsidRPr="000D682E">
        <w:rPr>
          <w:sz w:val="18"/>
          <w:szCs w:val="18"/>
          <w:lang w:val="es-ES"/>
        </w:rPr>
        <w:t>omares, S.L., Granada 2007) and K Renner, The Institutions of Private Law and their Social Functions. Edited with an introduction and notes by O Kahn-Freund (Routledge &amp; K. Paul, London 1949).</w:t>
      </w:r>
    </w:p>
  </w:footnote>
  <w:footnote w:id="5">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 E Fernandes, ‘Implementing the Urban Reform Agenda in Brazil’ (2007) 19 </w:t>
      </w:r>
      <w:r w:rsidRPr="000D682E">
        <w:rPr>
          <w:iCs/>
          <w:sz w:val="18"/>
          <w:szCs w:val="18"/>
        </w:rPr>
        <w:t>Environment &amp; Urbanisation</w:t>
      </w:r>
      <w:r w:rsidRPr="000D682E">
        <w:rPr>
          <w:sz w:val="18"/>
          <w:szCs w:val="18"/>
        </w:rPr>
        <w:t xml:space="preserve"> 1, 177-189; 182. </w:t>
      </w:r>
    </w:p>
  </w:footnote>
  <w:footnote w:id="6">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Corte Constitucional de Justicia, Sentencia C-006/1993.</w:t>
      </w:r>
    </w:p>
  </w:footnote>
  <w:footnote w:id="7">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pt-BR"/>
        </w:rPr>
        <w:t xml:space="preserve">Corte Constitucional de Justicia, </w:t>
      </w:r>
      <w:r w:rsidRPr="000D682E">
        <w:rPr>
          <w:bCs/>
          <w:sz w:val="18"/>
          <w:szCs w:val="18"/>
          <w:lang w:val="pt-BR"/>
        </w:rPr>
        <w:t>Sentencia C-295/1993.</w:t>
      </w:r>
    </w:p>
  </w:footnote>
  <w:footnote w:id="8">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pt-BR"/>
        </w:rPr>
        <w:t>Corte Constitucional de Justicia, Sentencia C-107/2002.</w:t>
      </w:r>
    </w:p>
  </w:footnote>
  <w:footnote w:id="9">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Corte Constitucional de Justicia, Sentencia C-595-99. </w:t>
      </w:r>
    </w:p>
  </w:footnote>
  <w:footnote w:id="10">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The </w:t>
      </w:r>
      <w:r w:rsidRPr="000D682E">
        <w:rPr>
          <w:i/>
          <w:sz w:val="18"/>
          <w:szCs w:val="18"/>
        </w:rPr>
        <w:t>ejidos</w:t>
      </w:r>
      <w:r w:rsidRPr="000D682E">
        <w:rPr>
          <w:sz w:val="18"/>
          <w:szCs w:val="18"/>
        </w:rPr>
        <w:t xml:space="preserve"> were the land surrounding the city, collectively owned and designated to common use and mainly to land reserves for the city. Nevertheless, modern </w:t>
      </w:r>
      <w:r w:rsidRPr="000D682E">
        <w:rPr>
          <w:i/>
          <w:sz w:val="18"/>
          <w:szCs w:val="18"/>
        </w:rPr>
        <w:t>ejido</w:t>
      </w:r>
      <w:r w:rsidRPr="000D682E">
        <w:rPr>
          <w:sz w:val="18"/>
          <w:szCs w:val="18"/>
        </w:rPr>
        <w:t xml:space="preserve"> is a special form of land tenure resulting from Mexican agrarian reform of 1917. </w:t>
      </w:r>
    </w:p>
  </w:footnote>
  <w:footnote w:id="11">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MT Castillo, </w:t>
      </w:r>
      <w:r w:rsidRPr="000D682E">
        <w:rPr>
          <w:i/>
          <w:sz w:val="18"/>
          <w:szCs w:val="18"/>
        </w:rPr>
        <w:t>Land Privatization in Mexico: Urbanization, Formation of Regions and Globalization in Ejidos</w:t>
      </w:r>
      <w:r w:rsidRPr="000D682E">
        <w:rPr>
          <w:sz w:val="18"/>
          <w:szCs w:val="18"/>
        </w:rPr>
        <w:t>(Routledge, New York 2004) 31.</w:t>
      </w:r>
    </w:p>
  </w:footnote>
  <w:footnote w:id="12">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en-US"/>
        </w:rPr>
        <w:t>AG Brito, Land Tenure, Housing Rights and Gender Review in Latin America: Mexico (UN Habitat, Nairobi 2005)</w:t>
      </w:r>
      <w:r w:rsidRPr="000D682E">
        <w:rPr>
          <w:sz w:val="18"/>
          <w:szCs w:val="18"/>
        </w:rPr>
        <w:t xml:space="preserve"> 44</w:t>
      </w:r>
      <w:r w:rsidRPr="000D682E">
        <w:rPr>
          <w:sz w:val="18"/>
          <w:szCs w:val="18"/>
          <w:lang w:val="en-US"/>
        </w:rPr>
        <w:t>.</w:t>
      </w:r>
    </w:p>
  </w:footnote>
  <w:footnote w:id="13">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es-ES"/>
        </w:rPr>
        <w:t>A Azuela and M Cancino, Los Asentamientos Humanos y la Mirada Parcial del Constitucionalismo Mexicano (Mimeo, Mexico DF n.d).14.</w:t>
      </w:r>
    </w:p>
  </w:footnote>
  <w:footnote w:id="14">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See Arts 4 and 5 of the Mexican General Law on Human Settlements of 1976, reformed in 1993. </w:t>
      </w:r>
    </w:p>
  </w:footnote>
  <w:footnote w:id="15">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es-ES"/>
        </w:rPr>
        <w:t>A Azuela and M Cancino, 2.</w:t>
      </w:r>
    </w:p>
  </w:footnote>
  <w:footnote w:id="16">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rPr>
        <w:t>A Azuela, ‘Property in the Post-Post-Revolution: Notes on the Crisis of the Constitutional Idea of Property in Contemporary Mexico’ (2011) 89 Tex L Rev 1915</w:t>
      </w:r>
      <w:r w:rsidRPr="000D682E">
        <w:rPr>
          <w:i/>
          <w:sz w:val="18"/>
          <w:szCs w:val="18"/>
        </w:rPr>
        <w:t>,</w:t>
      </w:r>
      <w:r w:rsidRPr="000D682E">
        <w:rPr>
          <w:sz w:val="18"/>
          <w:szCs w:val="18"/>
        </w:rPr>
        <w:t xml:space="preserve"> 1926-1927.</w:t>
      </w:r>
    </w:p>
  </w:footnote>
  <w:footnote w:id="17">
    <w:p w:rsidR="002C2721" w:rsidRPr="000D682E" w:rsidRDefault="0075492A" w:rsidP="000D682E">
      <w:pPr>
        <w:pStyle w:val="FootnoteText"/>
        <w:jc w:val="both"/>
        <w:rPr>
          <w:sz w:val="18"/>
          <w:szCs w:val="18"/>
        </w:rPr>
      </w:pPr>
      <w:r w:rsidRPr="000D682E">
        <w:rPr>
          <w:rStyle w:val="FootnoteReference"/>
          <w:sz w:val="18"/>
          <w:szCs w:val="18"/>
        </w:rPr>
        <w:footnoteRef/>
      </w:r>
      <w:r w:rsidR="00E41461" w:rsidRPr="000D682E">
        <w:rPr>
          <w:rStyle w:val="FootnoteReference"/>
          <w:sz w:val="18"/>
          <w:szCs w:val="18"/>
        </w:rPr>
        <w:tab/>
      </w:r>
      <w:r w:rsidRPr="000D682E">
        <w:rPr>
          <w:sz w:val="18"/>
          <w:szCs w:val="18"/>
        </w:rPr>
        <w:t xml:space="preserve">F and H Laski (trs), L Duguit, </w:t>
      </w:r>
      <w:r w:rsidRPr="000D682E">
        <w:rPr>
          <w:i/>
          <w:sz w:val="18"/>
          <w:szCs w:val="18"/>
        </w:rPr>
        <w:t xml:space="preserve">Law in the Modern State </w:t>
      </w:r>
      <w:r w:rsidRPr="000D682E">
        <w:rPr>
          <w:sz w:val="18"/>
          <w:szCs w:val="18"/>
        </w:rPr>
        <w:t>[1919](B.W. Huebsch, New York).</w:t>
      </w:r>
    </w:p>
  </w:footnote>
  <w:footnote w:id="18">
    <w:p w:rsidR="009B6D64" w:rsidRPr="000D682E" w:rsidRDefault="009B6D64" w:rsidP="000D682E">
      <w:pPr>
        <w:pStyle w:val="FootnoteText"/>
        <w:jc w:val="both"/>
        <w:rPr>
          <w:sz w:val="18"/>
          <w:szCs w:val="18"/>
          <w:lang w:val="pt-BR"/>
        </w:rPr>
      </w:pPr>
      <w:r w:rsidRPr="000D682E">
        <w:rPr>
          <w:rStyle w:val="FootnoteReference"/>
          <w:sz w:val="18"/>
          <w:szCs w:val="18"/>
        </w:rPr>
        <w:footnoteRef/>
      </w:r>
      <w:r w:rsidRPr="000D682E">
        <w:rPr>
          <w:sz w:val="18"/>
          <w:szCs w:val="18"/>
        </w:rPr>
        <w:t xml:space="preserve"> </w:t>
      </w:r>
      <w:r w:rsidR="00E41461" w:rsidRPr="000D682E">
        <w:rPr>
          <w:sz w:val="18"/>
          <w:szCs w:val="18"/>
          <w:lang w:val="pt-BR"/>
        </w:rPr>
        <w:tab/>
      </w:r>
      <w:r w:rsidRPr="000D682E">
        <w:rPr>
          <w:sz w:val="18"/>
          <w:szCs w:val="18"/>
          <w:lang w:val="pt-BR"/>
        </w:rPr>
        <w:t>O Santos Jr and D Montandon, Os Planos Diretores Municipais Pos-Estatuto da Cidade: Balanco Critico e Perspectivas (Observatorio das Metropolis IPPUR/UFRJ, Letra Capital 2011) 110-112.</w:t>
      </w:r>
    </w:p>
  </w:footnote>
  <w:footnote w:id="19">
    <w:p w:rsidR="002C2721" w:rsidRPr="000D682E" w:rsidRDefault="0075492A" w:rsidP="000D682E">
      <w:pPr>
        <w:pStyle w:val="FootnoteText"/>
        <w:jc w:val="both"/>
      </w:pPr>
      <w:r w:rsidRPr="000D682E">
        <w:rPr>
          <w:rStyle w:val="FootnoteReference"/>
          <w:sz w:val="18"/>
          <w:szCs w:val="18"/>
        </w:rPr>
        <w:footnoteRef/>
      </w:r>
      <w:r w:rsidR="00E41461" w:rsidRPr="000D682E">
        <w:rPr>
          <w:rStyle w:val="FootnoteReference"/>
          <w:sz w:val="18"/>
          <w:szCs w:val="18"/>
        </w:rPr>
        <w:tab/>
      </w:r>
      <w:r w:rsidRPr="000D682E">
        <w:rPr>
          <w:sz w:val="18"/>
          <w:szCs w:val="18"/>
          <w:lang w:val="pt-BR"/>
        </w:rPr>
        <w:t xml:space="preserve">ER Gomes cited in E Pinto, J Cardoso Jr. and P Linhares (eds) ‘Fortalecimento do Estado, das Institutições e da Democracia’ </w:t>
      </w:r>
      <w:r w:rsidRPr="000D682E">
        <w:rPr>
          <w:i/>
          <w:sz w:val="18"/>
          <w:szCs w:val="18"/>
          <w:lang w:val="pt-BR"/>
        </w:rPr>
        <w:t>Série Eixos Estratégicos do Desenvolvimento Brasileiro</w:t>
      </w:r>
      <w:r w:rsidRPr="000D682E">
        <w:rPr>
          <w:sz w:val="18"/>
          <w:szCs w:val="18"/>
          <w:lang w:val="pt-BR"/>
        </w:rPr>
        <w:t xml:space="preserve"> (Instituto de Pesquisas Economicas Aplicadas – ipea, Brasilia 2010)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21" w:rsidRDefault="0075492A">
    <w:pPr>
      <w:pStyle w:val="En-tte"/>
      <w:jc w:val="right"/>
    </w:pPr>
    <w:r>
      <w:fldChar w:fldCharType="begin"/>
    </w:r>
    <w:r>
      <w:instrText>PAGE</w:instrText>
    </w:r>
    <w:r>
      <w:fldChar w:fldCharType="separate"/>
    </w:r>
    <w:r w:rsidR="00A3124D">
      <w:rPr>
        <w:noProof/>
      </w:rPr>
      <w:t>2</w:t>
    </w:r>
    <w:r>
      <w:fldChar w:fldCharType="end"/>
    </w:r>
  </w:p>
  <w:p w:rsidR="002C2721" w:rsidRDefault="002C27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21"/>
    <w:rsid w:val="000870D1"/>
    <w:rsid w:val="000D682E"/>
    <w:rsid w:val="000F72EB"/>
    <w:rsid w:val="00125325"/>
    <w:rsid w:val="00197D8A"/>
    <w:rsid w:val="001A0AD0"/>
    <w:rsid w:val="001B05BD"/>
    <w:rsid w:val="001B05F8"/>
    <w:rsid w:val="001C542C"/>
    <w:rsid w:val="001F6D89"/>
    <w:rsid w:val="00220A52"/>
    <w:rsid w:val="0029144C"/>
    <w:rsid w:val="002C18C9"/>
    <w:rsid w:val="002C2721"/>
    <w:rsid w:val="00305B48"/>
    <w:rsid w:val="00326829"/>
    <w:rsid w:val="0034723D"/>
    <w:rsid w:val="00444B94"/>
    <w:rsid w:val="00464E8A"/>
    <w:rsid w:val="004657C8"/>
    <w:rsid w:val="004A20A9"/>
    <w:rsid w:val="004B70A5"/>
    <w:rsid w:val="004B7FEB"/>
    <w:rsid w:val="004D6086"/>
    <w:rsid w:val="0051325C"/>
    <w:rsid w:val="0053078A"/>
    <w:rsid w:val="00577CF3"/>
    <w:rsid w:val="00586A6A"/>
    <w:rsid w:val="0059599C"/>
    <w:rsid w:val="005E33C5"/>
    <w:rsid w:val="006054D7"/>
    <w:rsid w:val="00627AFF"/>
    <w:rsid w:val="006718A6"/>
    <w:rsid w:val="006719E7"/>
    <w:rsid w:val="006909D4"/>
    <w:rsid w:val="006F4114"/>
    <w:rsid w:val="00706E42"/>
    <w:rsid w:val="00752225"/>
    <w:rsid w:val="0075492A"/>
    <w:rsid w:val="007B3E44"/>
    <w:rsid w:val="007D5540"/>
    <w:rsid w:val="007E476E"/>
    <w:rsid w:val="00837350"/>
    <w:rsid w:val="00840C72"/>
    <w:rsid w:val="008640BE"/>
    <w:rsid w:val="008A0E14"/>
    <w:rsid w:val="008F14A6"/>
    <w:rsid w:val="008F7815"/>
    <w:rsid w:val="0095006F"/>
    <w:rsid w:val="009733C3"/>
    <w:rsid w:val="009765B1"/>
    <w:rsid w:val="009B6D64"/>
    <w:rsid w:val="009C76C5"/>
    <w:rsid w:val="009E53A7"/>
    <w:rsid w:val="00A302AF"/>
    <w:rsid w:val="00A3124D"/>
    <w:rsid w:val="00A41D0C"/>
    <w:rsid w:val="00A56532"/>
    <w:rsid w:val="00A56BF6"/>
    <w:rsid w:val="00A61EF6"/>
    <w:rsid w:val="00A756B8"/>
    <w:rsid w:val="00AB0583"/>
    <w:rsid w:val="00B07189"/>
    <w:rsid w:val="00B355B8"/>
    <w:rsid w:val="00B75EC0"/>
    <w:rsid w:val="00BB13EA"/>
    <w:rsid w:val="00BD65BD"/>
    <w:rsid w:val="00C05770"/>
    <w:rsid w:val="00C22772"/>
    <w:rsid w:val="00C229C2"/>
    <w:rsid w:val="00C30512"/>
    <w:rsid w:val="00C913AC"/>
    <w:rsid w:val="00C9356D"/>
    <w:rsid w:val="00CB15FD"/>
    <w:rsid w:val="00D14B75"/>
    <w:rsid w:val="00D24B9B"/>
    <w:rsid w:val="00D4545C"/>
    <w:rsid w:val="00DF71E4"/>
    <w:rsid w:val="00E41461"/>
    <w:rsid w:val="00E47F5B"/>
    <w:rsid w:val="00E64107"/>
    <w:rsid w:val="00E82365"/>
    <w:rsid w:val="00EB571B"/>
    <w:rsid w:val="00F25E2F"/>
    <w:rsid w:val="00F3368F"/>
    <w:rsid w:val="00F801E2"/>
    <w:rsid w:val="00F903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708"/>
      </w:tabs>
      <w:suppressAutoHyphens/>
    </w:pPr>
    <w:rPr>
      <w:rFonts w:ascii="Calibri" w:eastAsia="WenQuanYi Zen Hei" w:hAnsi="Calibri" w:cs="Calibri"/>
      <w:color w:val="00000A"/>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noteTextChar">
    <w:name w:val="Footnote Text Char"/>
    <w:basedOn w:val="DefaultParagraphFont"/>
    <w:rPr>
      <w:sz w:val="20"/>
      <w:szCs w:val="20"/>
    </w:rPr>
  </w:style>
  <w:style w:type="character" w:customStyle="1" w:styleId="FootnoteTextChar2">
    <w:name w:val="Footnote Text Char2"/>
    <w:rPr>
      <w:rFonts w:ascii="Times New Roman" w:eastAsia="Times New Roman" w:hAnsi="Times New Roman" w:cs="Times New Roman"/>
      <w:sz w:val="20"/>
      <w:szCs w:val="20"/>
      <w:lang w:val="en-GB" w:eastAsia="pt-BR"/>
    </w:rPr>
  </w:style>
  <w:style w:type="character" w:styleId="FootnoteReference">
    <w:name w:val="footnote reference"/>
    <w:basedOn w:val="DefaultParagraphFont"/>
    <w:rPr>
      <w:vertAlign w:val="superscript"/>
    </w:rPr>
  </w:style>
  <w:style w:type="character" w:customStyle="1" w:styleId="LienInternet">
    <w:name w:val="Lien Internet"/>
    <w:basedOn w:val="DefaultParagraphFont"/>
    <w:rPr>
      <w:color w:val="0000FF"/>
      <w:u w:val="single"/>
      <w:lang w:val="fr-FR" w:eastAsia="fr-FR" w:bidi="fr-FR"/>
    </w:rPr>
  </w:style>
  <w:style w:type="character" w:customStyle="1" w:styleId="Accentuationforte">
    <w:name w:val="Accentuation forte"/>
    <w:rPr>
      <w:b/>
      <w:bCs/>
    </w:rPr>
  </w:style>
  <w:style w:type="character" w:customStyle="1" w:styleId="BodyText2Char">
    <w:name w:val="Body Text 2 Char"/>
    <w:basedOn w:val="DefaultParagraphFont"/>
    <w:rPr>
      <w:rFonts w:ascii="Times New Roman" w:eastAsia="Times New Roman" w:hAnsi="Times New Roman" w:cs="Times New Roman"/>
      <w:sz w:val="24"/>
      <w:szCs w:val="24"/>
      <w:lang w:val="en-GB" w:eastAsia="pt-BR"/>
    </w:rPr>
  </w:style>
  <w:style w:type="character" w:customStyle="1" w:styleId="Appeldenote">
    <w:name w:val="Appel de note"/>
    <w:rPr>
      <w:vertAlign w:val="superscript"/>
    </w:rPr>
  </w:style>
  <w:style w:type="character" w:customStyle="1" w:styleId="Appeldenotedefin">
    <w:name w:val="Appel de note de fin"/>
    <w:rPr>
      <w:vertAlign w:val="superscript"/>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
    <w:name w:val="Titre"/>
    <w:basedOn w:val="Standard"/>
    <w:next w:val="Corpsdetexte"/>
    <w:pPr>
      <w:keepNext/>
      <w:spacing w:before="240" w:after="120"/>
    </w:pPr>
    <w:rPr>
      <w:rFonts w:ascii="Arial" w:hAnsi="Arial" w:cs="Lohit Hindi"/>
      <w:sz w:val="28"/>
      <w:szCs w:val="28"/>
    </w:rPr>
  </w:style>
  <w:style w:type="paragraph" w:customStyle="1" w:styleId="Corpsdetexte">
    <w:name w:val="Corps de texte"/>
    <w:basedOn w:val="Standard"/>
    <w:pPr>
      <w:spacing w:after="120"/>
    </w:pPr>
  </w:style>
  <w:style w:type="paragraph" w:customStyle="1" w:styleId="Liste">
    <w:name w:val="Liste"/>
    <w:basedOn w:val="Corpsdetexte"/>
    <w:rPr>
      <w:rFonts w:cs="Lohit Hindi"/>
    </w:rPr>
  </w:style>
  <w:style w:type="paragraph" w:customStyle="1" w:styleId="Lgende">
    <w:name w:val="Légende"/>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customStyle="1" w:styleId="En-tte">
    <w:name w:val="En-tête"/>
    <w:basedOn w:val="Standard"/>
    <w:pPr>
      <w:suppressLineNumbers/>
      <w:tabs>
        <w:tab w:val="center" w:pos="4513"/>
        <w:tab w:val="right" w:pos="9026"/>
      </w:tabs>
      <w:spacing w:after="0" w:line="100" w:lineRule="atLeast"/>
    </w:pPr>
  </w:style>
  <w:style w:type="paragraph" w:customStyle="1" w:styleId="Pieddepage">
    <w:name w:val="Pied de page"/>
    <w:basedOn w:val="Standard"/>
    <w:pPr>
      <w:suppressLineNumbers/>
      <w:tabs>
        <w:tab w:val="center" w:pos="4513"/>
        <w:tab w:val="right" w:pos="9026"/>
      </w:tabs>
      <w:spacing w:after="0" w:line="100" w:lineRule="atLeast"/>
    </w:pPr>
  </w:style>
  <w:style w:type="paragraph" w:styleId="ListParagraph">
    <w:name w:val="List Paragraph"/>
    <w:basedOn w:val="Standard"/>
    <w:pPr>
      <w:ind w:left="720"/>
    </w:pPr>
  </w:style>
  <w:style w:type="paragraph" w:styleId="FootnoteText">
    <w:name w:val="footnote text"/>
    <w:basedOn w:val="Standard"/>
    <w:pPr>
      <w:spacing w:after="0" w:line="100" w:lineRule="atLeast"/>
    </w:pPr>
    <w:rPr>
      <w:rFonts w:ascii="Times New Roman" w:eastAsia="Times New Roman" w:hAnsi="Times New Roman" w:cs="Times New Roman"/>
      <w:sz w:val="20"/>
      <w:szCs w:val="20"/>
      <w:lang w:val="en-GB" w:eastAsia="pt-BR"/>
    </w:rPr>
  </w:style>
  <w:style w:type="paragraph" w:styleId="NormalWeb">
    <w:name w:val="Normal (Web)"/>
    <w:basedOn w:val="Standard"/>
    <w:pPr>
      <w:spacing w:before="280" w:after="280" w:line="100" w:lineRule="atLeast"/>
    </w:pPr>
    <w:rPr>
      <w:rFonts w:ascii="Verdana" w:hAnsi="Verdana" w:cs="Verdana"/>
      <w:sz w:val="17"/>
      <w:szCs w:val="17"/>
      <w:lang w:eastAsia="ar-SA"/>
    </w:rPr>
  </w:style>
  <w:style w:type="paragraph" w:styleId="BodyText2">
    <w:name w:val="Body Text 2"/>
    <w:basedOn w:val="Standard"/>
    <w:pPr>
      <w:spacing w:after="120" w:line="480" w:lineRule="auto"/>
    </w:pPr>
    <w:rPr>
      <w:rFonts w:ascii="Times New Roman" w:eastAsia="Times New Roman" w:hAnsi="Times New Roman" w:cs="Times New Roman"/>
      <w:sz w:val="24"/>
      <w:szCs w:val="24"/>
      <w:lang w:val="en-GB" w:eastAsia="pt-BR"/>
    </w:rPr>
  </w:style>
  <w:style w:type="paragraph" w:customStyle="1" w:styleId="Notedebasdepage">
    <w:name w:val="Note de bas de page"/>
    <w:basedOn w:val="Standard"/>
    <w:pPr>
      <w:suppressLineNumbers/>
      <w:ind w:left="339" w:hanging="339"/>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708"/>
      </w:tabs>
      <w:suppressAutoHyphens/>
    </w:pPr>
    <w:rPr>
      <w:rFonts w:ascii="Calibri" w:eastAsia="WenQuanYi Zen Hei" w:hAnsi="Calibri" w:cs="Calibri"/>
      <w:color w:val="00000A"/>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noteTextChar">
    <w:name w:val="Footnote Text Char"/>
    <w:basedOn w:val="DefaultParagraphFont"/>
    <w:rPr>
      <w:sz w:val="20"/>
      <w:szCs w:val="20"/>
    </w:rPr>
  </w:style>
  <w:style w:type="character" w:customStyle="1" w:styleId="FootnoteTextChar2">
    <w:name w:val="Footnote Text Char2"/>
    <w:rPr>
      <w:rFonts w:ascii="Times New Roman" w:eastAsia="Times New Roman" w:hAnsi="Times New Roman" w:cs="Times New Roman"/>
      <w:sz w:val="20"/>
      <w:szCs w:val="20"/>
      <w:lang w:val="en-GB" w:eastAsia="pt-BR"/>
    </w:rPr>
  </w:style>
  <w:style w:type="character" w:styleId="FootnoteReference">
    <w:name w:val="footnote reference"/>
    <w:basedOn w:val="DefaultParagraphFont"/>
    <w:rPr>
      <w:vertAlign w:val="superscript"/>
    </w:rPr>
  </w:style>
  <w:style w:type="character" w:customStyle="1" w:styleId="LienInternet">
    <w:name w:val="Lien Internet"/>
    <w:basedOn w:val="DefaultParagraphFont"/>
    <w:rPr>
      <w:color w:val="0000FF"/>
      <w:u w:val="single"/>
      <w:lang w:val="fr-FR" w:eastAsia="fr-FR" w:bidi="fr-FR"/>
    </w:rPr>
  </w:style>
  <w:style w:type="character" w:customStyle="1" w:styleId="Accentuationforte">
    <w:name w:val="Accentuation forte"/>
    <w:rPr>
      <w:b/>
      <w:bCs/>
    </w:rPr>
  </w:style>
  <w:style w:type="character" w:customStyle="1" w:styleId="BodyText2Char">
    <w:name w:val="Body Text 2 Char"/>
    <w:basedOn w:val="DefaultParagraphFont"/>
    <w:rPr>
      <w:rFonts w:ascii="Times New Roman" w:eastAsia="Times New Roman" w:hAnsi="Times New Roman" w:cs="Times New Roman"/>
      <w:sz w:val="24"/>
      <w:szCs w:val="24"/>
      <w:lang w:val="en-GB" w:eastAsia="pt-BR"/>
    </w:rPr>
  </w:style>
  <w:style w:type="character" w:customStyle="1" w:styleId="Appeldenote">
    <w:name w:val="Appel de note"/>
    <w:rPr>
      <w:vertAlign w:val="superscript"/>
    </w:rPr>
  </w:style>
  <w:style w:type="character" w:customStyle="1" w:styleId="Appeldenotedefin">
    <w:name w:val="Appel de note de fin"/>
    <w:rPr>
      <w:vertAlign w:val="superscript"/>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
    <w:name w:val="Titre"/>
    <w:basedOn w:val="Standard"/>
    <w:next w:val="Corpsdetexte"/>
    <w:pPr>
      <w:keepNext/>
      <w:spacing w:before="240" w:after="120"/>
    </w:pPr>
    <w:rPr>
      <w:rFonts w:ascii="Arial" w:hAnsi="Arial" w:cs="Lohit Hindi"/>
      <w:sz w:val="28"/>
      <w:szCs w:val="28"/>
    </w:rPr>
  </w:style>
  <w:style w:type="paragraph" w:customStyle="1" w:styleId="Corpsdetexte">
    <w:name w:val="Corps de texte"/>
    <w:basedOn w:val="Standard"/>
    <w:pPr>
      <w:spacing w:after="120"/>
    </w:pPr>
  </w:style>
  <w:style w:type="paragraph" w:customStyle="1" w:styleId="Liste">
    <w:name w:val="Liste"/>
    <w:basedOn w:val="Corpsdetexte"/>
    <w:rPr>
      <w:rFonts w:cs="Lohit Hindi"/>
    </w:rPr>
  </w:style>
  <w:style w:type="paragraph" w:customStyle="1" w:styleId="Lgende">
    <w:name w:val="Légende"/>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customStyle="1" w:styleId="En-tte">
    <w:name w:val="En-tête"/>
    <w:basedOn w:val="Standard"/>
    <w:pPr>
      <w:suppressLineNumbers/>
      <w:tabs>
        <w:tab w:val="center" w:pos="4513"/>
        <w:tab w:val="right" w:pos="9026"/>
      </w:tabs>
      <w:spacing w:after="0" w:line="100" w:lineRule="atLeast"/>
    </w:pPr>
  </w:style>
  <w:style w:type="paragraph" w:customStyle="1" w:styleId="Pieddepage">
    <w:name w:val="Pied de page"/>
    <w:basedOn w:val="Standard"/>
    <w:pPr>
      <w:suppressLineNumbers/>
      <w:tabs>
        <w:tab w:val="center" w:pos="4513"/>
        <w:tab w:val="right" w:pos="9026"/>
      </w:tabs>
      <w:spacing w:after="0" w:line="100" w:lineRule="atLeast"/>
    </w:pPr>
  </w:style>
  <w:style w:type="paragraph" w:styleId="ListParagraph">
    <w:name w:val="List Paragraph"/>
    <w:basedOn w:val="Standard"/>
    <w:pPr>
      <w:ind w:left="720"/>
    </w:pPr>
  </w:style>
  <w:style w:type="paragraph" w:styleId="FootnoteText">
    <w:name w:val="footnote text"/>
    <w:basedOn w:val="Standard"/>
    <w:pPr>
      <w:spacing w:after="0" w:line="100" w:lineRule="atLeast"/>
    </w:pPr>
    <w:rPr>
      <w:rFonts w:ascii="Times New Roman" w:eastAsia="Times New Roman" w:hAnsi="Times New Roman" w:cs="Times New Roman"/>
      <w:sz w:val="20"/>
      <w:szCs w:val="20"/>
      <w:lang w:val="en-GB" w:eastAsia="pt-BR"/>
    </w:rPr>
  </w:style>
  <w:style w:type="paragraph" w:styleId="NormalWeb">
    <w:name w:val="Normal (Web)"/>
    <w:basedOn w:val="Standard"/>
    <w:pPr>
      <w:spacing w:before="280" w:after="280" w:line="100" w:lineRule="atLeast"/>
    </w:pPr>
    <w:rPr>
      <w:rFonts w:ascii="Verdana" w:hAnsi="Verdana" w:cs="Verdana"/>
      <w:sz w:val="17"/>
      <w:szCs w:val="17"/>
      <w:lang w:eastAsia="ar-SA"/>
    </w:rPr>
  </w:style>
  <w:style w:type="paragraph" w:styleId="BodyText2">
    <w:name w:val="Body Text 2"/>
    <w:basedOn w:val="Standard"/>
    <w:pPr>
      <w:spacing w:after="120" w:line="480" w:lineRule="auto"/>
    </w:pPr>
    <w:rPr>
      <w:rFonts w:ascii="Times New Roman" w:eastAsia="Times New Roman" w:hAnsi="Times New Roman" w:cs="Times New Roman"/>
      <w:sz w:val="24"/>
      <w:szCs w:val="24"/>
      <w:lang w:val="en-GB" w:eastAsia="pt-BR"/>
    </w:rPr>
  </w:style>
  <w:style w:type="paragraph" w:customStyle="1" w:styleId="Notedebasdepage">
    <w:name w:val="Note de bas de page"/>
    <w:basedOn w:val="Standard"/>
    <w:pPr>
      <w:suppressLineNumbers/>
      <w:ind w:left="339" w:hanging="339"/>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859E-C716-4694-ADCE-E201B1B4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Ford Foundation</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rollout account</dc:creator>
  <cp:lastModifiedBy>Ford Foundation</cp:lastModifiedBy>
  <cp:revision>2</cp:revision>
  <dcterms:created xsi:type="dcterms:W3CDTF">2014-09-22T19:18:00Z</dcterms:created>
  <dcterms:modified xsi:type="dcterms:W3CDTF">2014-09-22T19:18:00Z</dcterms:modified>
</cp:coreProperties>
</file>